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76A" w:rsidRDefault="00973D77" w:rsidP="00973D77">
      <w:pPr>
        <w:jc w:val="center"/>
        <w:rPr>
          <w:b/>
        </w:rPr>
      </w:pPr>
      <w:r w:rsidRPr="00973D77">
        <w:rPr>
          <w:b/>
        </w:rPr>
        <w:t>Prof. Mary Ann Glendon and the Structure of Religious Freedom</w:t>
      </w:r>
    </w:p>
    <w:p w:rsidR="00973D77" w:rsidRDefault="00973D77" w:rsidP="00973D77">
      <w:pPr>
        <w:jc w:val="center"/>
      </w:pPr>
      <w:r>
        <w:t>Richard W. Garnett</w:t>
      </w:r>
      <w:r>
        <w:rPr>
          <w:rStyle w:val="FootnoteReference"/>
        </w:rPr>
        <w:footnoteReference w:id="1"/>
      </w:r>
    </w:p>
    <w:p w:rsidR="00F372AF" w:rsidRDefault="00973D77" w:rsidP="00973D77">
      <w:pPr>
        <w:ind w:firstLine="720"/>
      </w:pPr>
      <w:r>
        <w:t xml:space="preserve">In 1991, Mary Ann Glendon and Raul Yanes published in the </w:t>
      </w:r>
      <w:r>
        <w:rPr>
          <w:i/>
        </w:rPr>
        <w:t xml:space="preserve">Michigan Law Review </w:t>
      </w:r>
      <w:r>
        <w:t>an article called “Structural Free Exercise.”</w:t>
      </w:r>
      <w:r>
        <w:rPr>
          <w:rStyle w:val="FootnoteReference"/>
        </w:rPr>
        <w:footnoteReference w:id="2"/>
      </w:r>
      <w:r>
        <w:t xml:space="preserve">  This article – which I read as a law student in the early 1990s and to which I have returned many times – was and still is among the most insightful explorations and explanations of the freedom of religion that is protected by the First Amendment to the Constitution of the United States.  The problem Glendon and Yanes identified -- namely, that an excessively expansive</w:t>
      </w:r>
      <w:r w:rsidR="00DD6861">
        <w:t xml:space="preserve"> (and ahistorical)</w:t>
      </w:r>
      <w:r>
        <w:t xml:space="preserve"> understanding of the “establishment” of religion and an unduly narrow understanding of religious “exercise” combine to compress and constrict the “freedom of religion” – was and still is real and pressing.</w:t>
      </w:r>
      <w:r w:rsidR="00E248DC">
        <w:t xml:space="preserve">  And their response – that is, the claim that a “holistic, structural approach to the text</w:t>
      </w:r>
      <w:r>
        <w:t xml:space="preserve"> </w:t>
      </w:r>
      <w:r w:rsidR="00E248DC">
        <w:t xml:space="preserve">is necessary [for] </w:t>
      </w:r>
      <w:proofErr w:type="gramStart"/>
      <w:r w:rsidR="00E248DC">
        <w:t>a workable</w:t>
      </w:r>
      <w:proofErr w:type="gramEnd"/>
      <w:r w:rsidR="00E248DC">
        <w:t>, coherent, church-state jurisprudence for our pluralistic, liberal, democratic society”</w:t>
      </w:r>
      <w:r w:rsidR="00E248DC">
        <w:rPr>
          <w:rStyle w:val="FootnoteReference"/>
        </w:rPr>
        <w:footnoteReference w:id="3"/>
      </w:r>
      <w:r w:rsidR="00E248DC">
        <w:t xml:space="preserve"> – was and still is compelling.</w:t>
      </w:r>
      <w:r w:rsidR="00DD6861">
        <w:t xml:space="preserve">  I have, in my own work, attempted to develop and elaborate upon it.</w:t>
      </w:r>
      <w:r w:rsidR="00DD6861">
        <w:rPr>
          <w:rStyle w:val="FootnoteReference"/>
        </w:rPr>
        <w:footnoteReference w:id="4"/>
      </w:r>
      <w:r w:rsidR="00DD6861">
        <w:t xml:space="preserve">  And, at least in some respects, it appears that the Supreme Court of the United States might be coming around, too.</w:t>
      </w:r>
      <w:r w:rsidR="00DD6861">
        <w:rPr>
          <w:rStyle w:val="FootnoteReference"/>
        </w:rPr>
        <w:footnoteReference w:id="5"/>
      </w:r>
      <w:r w:rsidR="00DD6861">
        <w:t xml:space="preserve"> </w:t>
      </w:r>
    </w:p>
    <w:p w:rsidR="004331A8" w:rsidRDefault="00F372AF" w:rsidP="00973D77">
      <w:pPr>
        <w:ind w:firstLine="720"/>
      </w:pPr>
      <w:r>
        <w:t xml:space="preserve">The Article’s diagnosis of the Court’s First Amendment missteps </w:t>
      </w:r>
      <w:r w:rsidR="006F2050">
        <w:t xml:space="preserve">was consonant with the theme of Glendon’s outstanding monograph, </w:t>
      </w:r>
      <w:r w:rsidR="006F2050">
        <w:rPr>
          <w:i/>
        </w:rPr>
        <w:t>Rights Talk:  The Impoverishment of Political Discourse</w:t>
      </w:r>
      <w:r w:rsidR="006F2050">
        <w:t>, which was published two years later:  The “freedom of religion” had been, in the work of the Court and too many commentators, re-cast in entirely “individualistic” terms and the religious-liberty dynamic framed as a contest between the “interests” of the state on the one hand and those of the solitary rights-bearer on the other.  Missing from this</w:t>
      </w:r>
      <w:r w:rsidR="00FA2D31">
        <w:t xml:space="preserve"> binary</w:t>
      </w:r>
      <w:r w:rsidR="006F2050">
        <w:t xml:space="preserve"> dynamic</w:t>
      </w:r>
      <w:r w:rsidR="00FA2D31">
        <w:t xml:space="preserve">, this bare </w:t>
      </w:r>
      <w:proofErr w:type="gramStart"/>
      <w:r w:rsidR="00FA2D31">
        <w:t>landscape,</w:t>
      </w:r>
      <w:proofErr w:type="gramEnd"/>
      <w:r w:rsidR="006F2050">
        <w:t xml:space="preserve"> was any meaningful idea of the social, of civil society, of plural authorities, and of the freedoms that are properly enjoyed by groups, </w:t>
      </w:r>
      <w:r w:rsidR="00C457B2">
        <w:t>communities</w:t>
      </w:r>
      <w:r w:rsidR="006F2050">
        <w:t>, and associations.</w:t>
      </w:r>
      <w:r w:rsidR="00FA2D31">
        <w:t xml:space="preserve">  The </w:t>
      </w:r>
      <w:r w:rsidR="00B710CD">
        <w:t xml:space="preserve">freedom-protecting and flourishing-enabling </w:t>
      </w:r>
      <w:r w:rsidR="00FA2D31">
        <w:t xml:space="preserve">distinction between religious and political authority – which had long and rightly been an important goal in the constitutional history of the West </w:t>
      </w:r>
      <w:r w:rsidR="00B710CD">
        <w:t>–</w:t>
      </w:r>
      <w:r w:rsidR="00FA2D31">
        <w:t xml:space="preserve"> </w:t>
      </w:r>
      <w:r w:rsidR="00B710CD">
        <w:t>was confused with a “wall of separation” between “religion” and “politics,” between the “public” and the “private.”</w:t>
      </w:r>
      <w:r w:rsidR="00CF1773">
        <w:t xml:space="preserve">  And the “free exercise” of religion came to be seen as a function </w:t>
      </w:r>
      <w:r w:rsidR="00C318CA">
        <w:t>less of the moral limits on state action than of the extent to which private “conscience” can be accommodated without too much cost or inconvenience to the political authority and its projects.</w:t>
      </w:r>
      <w:r w:rsidR="00287024">
        <w:t xml:space="preserve">  This diagnosis, again, was and remains sound.</w:t>
      </w:r>
    </w:p>
    <w:p w:rsidR="004331A8" w:rsidRDefault="004331A8" w:rsidP="00973D77">
      <w:pPr>
        <w:ind w:firstLine="720"/>
        <w:rPr>
          <w:bCs/>
        </w:rPr>
      </w:pPr>
      <w:r>
        <w:t xml:space="preserve">In the concluding sections of their paper, Glendon and Yanes proposed a “new approach” that they called “structural free exercise.”  “We use the word </w:t>
      </w:r>
      <w:r>
        <w:rPr>
          <w:i/>
        </w:rPr>
        <w:t>structural,</w:t>
      </w:r>
      <w:r>
        <w:t xml:space="preserve">” they said, “in an </w:t>
      </w:r>
      <w:r>
        <w:lastRenderedPageBreak/>
        <w:t xml:space="preserve">organic . . . sense to refer to the relations within and among texts, and between legal and social institutions.  The structural approach situates the religion language within its historical and literary context.  It takes into consideration the institutional and associational, as well as the individual, aspects of religious freedom.  It is informed by an awareness of the role of America’s </w:t>
      </w:r>
      <w:r w:rsidRPr="004331A8">
        <w:t>religions in the cultural foundations of the democratic experiment.”</w:t>
      </w:r>
      <w:r>
        <w:rPr>
          <w:rStyle w:val="FootnoteReference"/>
        </w:rPr>
        <w:footnoteReference w:id="6"/>
      </w:r>
      <w:r w:rsidRPr="004331A8">
        <w:t xml:space="preserve">  And, they suggested that “[a] </w:t>
      </w:r>
      <w:r w:rsidRPr="004331A8">
        <w:rPr>
          <w:bCs/>
        </w:rPr>
        <w:t>A holistic reading thus suggests that individual free exercise can-not be treated in isolation from the need of religious associations and their members for a protected sphere within which they can provide for the definition, development, and transmission of their own beliefs and practices</w:t>
      </w:r>
      <w:r>
        <w:rPr>
          <w:bCs/>
        </w:rPr>
        <w:t>.”</w:t>
      </w:r>
      <w:r>
        <w:rPr>
          <w:rStyle w:val="FootnoteReference"/>
          <w:bCs/>
        </w:rPr>
        <w:footnoteReference w:id="7"/>
      </w:r>
      <w:r w:rsidRPr="004331A8">
        <w:rPr>
          <w:bCs/>
        </w:rPr>
        <w:t xml:space="preserve"> </w:t>
      </w:r>
      <w:r>
        <w:rPr>
          <w:bCs/>
        </w:rPr>
        <w:t xml:space="preserve"> </w:t>
      </w:r>
    </w:p>
    <w:p w:rsidR="00A42AB9" w:rsidRDefault="004331A8" w:rsidP="00973D77">
      <w:pPr>
        <w:ind w:firstLine="720"/>
      </w:pPr>
      <w:r w:rsidRPr="004331A8">
        <w:t>As I noted earlier, this proposal and approach have influenced and informed my own</w:t>
      </w:r>
      <w:r>
        <w:t xml:space="preserve"> academic and other efforts.</w:t>
      </w:r>
      <w:r>
        <w:rPr>
          <w:rStyle w:val="FootnoteReference"/>
        </w:rPr>
        <w:footnoteReference w:id="8"/>
      </w:r>
      <w:r>
        <w:t xml:space="preserve">  I have suggested that the “separation of church and state,” correctly understood and in our tradition, denotes a </w:t>
      </w:r>
      <w:r w:rsidRPr="004331A8">
        <w:t>structural arrangement involving institutions, a constitutional order in which the institutions of religion</w:t>
      </w:r>
      <w:r>
        <w:t xml:space="preserve"> </w:t>
      </w:r>
      <w:r w:rsidRPr="004331A8">
        <w:t>are distinct from, other than, and meaningfully independent of, the institutions of government.</w:t>
      </w:r>
      <w:r w:rsidR="00A42AB9">
        <w:t xml:space="preserve">  So understood, “separation” is a </w:t>
      </w:r>
      <w:r w:rsidR="00A42AB9" w:rsidRPr="00A42AB9">
        <w:t xml:space="preserve">principle of pluralism, of multiple and overlapping authorities, of competing loyalties and demands. </w:t>
      </w:r>
      <w:r w:rsidR="00A42AB9">
        <w:t xml:space="preserve"> </w:t>
      </w:r>
      <w:r w:rsidR="00A42AB9" w:rsidRPr="00A42AB9">
        <w:t>It is a rule that limits the state and thereby clears out and protects a social space, within which persons are formed and educated, and without which the liberty of conscience is vulnerable.</w:t>
      </w:r>
    </w:p>
    <w:p w:rsidR="00A42AB9" w:rsidRDefault="00A42AB9" w:rsidP="00A42AB9">
      <w:pPr>
        <w:ind w:firstLine="720"/>
      </w:pPr>
      <w:r>
        <w:t xml:space="preserve">Within this structural arrangement, </w:t>
      </w:r>
      <w:r>
        <w:rPr>
          <w:i/>
        </w:rPr>
        <w:t xml:space="preserve">i.e., </w:t>
      </w:r>
      <w:r>
        <w:t xml:space="preserve">church-state “separation,” religious institutions and communities both contribute to and benefit from the enterprise of organizing and limiting political power.  What John Courtney Murray – and Pope Gregory VII before him – called “the freedom of the Church” is both a </w:t>
      </w:r>
      <w:r w:rsidRPr="00A42AB9">
        <w:t>structural feature of social and political life</w:t>
      </w:r>
      <w:r>
        <w:t xml:space="preserve"> – one that </w:t>
      </w:r>
      <w:r w:rsidRPr="00A42AB9">
        <w:t>promotes and enhances freedom by limiting government</w:t>
      </w:r>
      <w:r>
        <w:t xml:space="preserve"> – and </w:t>
      </w:r>
      <w:r w:rsidRPr="00A42AB9">
        <w:t>a moral right to be enjoyed by religious communities.</w:t>
      </w:r>
      <w:r>
        <w:rPr>
          <w:rStyle w:val="FootnoteReference"/>
        </w:rPr>
        <w:footnoteReference w:id="9"/>
      </w:r>
      <w:r w:rsidRPr="00A42AB9">
        <w:t xml:space="preserve"> </w:t>
      </w:r>
      <w:r>
        <w:t xml:space="preserve"> </w:t>
      </w:r>
      <w:r w:rsidRPr="00A42AB9">
        <w:t xml:space="preserve">It is not simply an effect or implication of private, individual claims to freedom of conscience and immunity from government coercion in matters of religious belief. </w:t>
      </w:r>
      <w:r>
        <w:t xml:space="preserve"> Rather, as Murray argued in </w:t>
      </w:r>
      <w:r>
        <w:rPr>
          <w:i/>
        </w:rPr>
        <w:t xml:space="preserve">We Hold These Truths </w:t>
      </w:r>
      <w:r>
        <w:t xml:space="preserve">and elsewhere, </w:t>
      </w:r>
      <w:r w:rsidRPr="00A42AB9">
        <w:t>the immunity of conscience from coercion in religious matters depends on, and is nourished by, church autonomy.</w:t>
      </w:r>
      <w:r w:rsidR="00D449E3">
        <w:t xml:space="preserve">  Thus, t</w:t>
      </w:r>
      <w:r w:rsidR="00D449E3" w:rsidRPr="00D449E3">
        <w:t>he relationship between the enterprise of protecting human rights and religious communities’ right to self-determination is a</w:t>
      </w:r>
      <w:r w:rsidR="00D449E3">
        <w:t xml:space="preserve"> </w:t>
      </w:r>
      <w:r w:rsidR="00D449E3" w:rsidRPr="00D449E3">
        <w:t xml:space="preserve">mutually reinforcing one. </w:t>
      </w:r>
      <w:r w:rsidR="00D449E3">
        <w:t xml:space="preserve"> </w:t>
      </w:r>
      <w:r w:rsidR="00D449E3" w:rsidRPr="00D449E3">
        <w:t xml:space="preserve">Human rights law, in other words, protects church autonomy – it protects the freedom of religious communities to govern and organize </w:t>
      </w:r>
      <w:proofErr w:type="gramStart"/>
      <w:r w:rsidR="00D449E3" w:rsidRPr="00D449E3">
        <w:t>themselves</w:t>
      </w:r>
      <w:proofErr w:type="gramEnd"/>
      <w:r w:rsidR="00D449E3" w:rsidRPr="00D449E3">
        <w:t>, to decide religious matters without government interference, to establish their own criteria for membership, leadership, and orthodoxy, etc. – and, in turn, church autonomy promotes the enjoyment and exercise of human rights</w:t>
      </w:r>
      <w:r w:rsidR="00D449E3">
        <w:t xml:space="preserve">.  However, and as Glendon helped us to see in </w:t>
      </w:r>
      <w:r w:rsidR="00D449E3">
        <w:rPr>
          <w:i/>
        </w:rPr>
        <w:t xml:space="preserve">Rights Talk, </w:t>
      </w:r>
      <w:r w:rsidR="00D449E3">
        <w:t xml:space="preserve">the nature of this dynamic is often misunderstood or distorted. </w:t>
      </w:r>
    </w:p>
    <w:p w:rsidR="002C575C" w:rsidRDefault="002C575C" w:rsidP="00A42AB9">
      <w:pPr>
        <w:ind w:firstLine="720"/>
      </w:pPr>
    </w:p>
    <w:p w:rsidR="002C575C" w:rsidRDefault="002C575C" w:rsidP="00A42AB9">
      <w:pPr>
        <w:ind w:firstLine="720"/>
      </w:pPr>
      <w:r w:rsidRPr="002C575C">
        <w:t>I</w:t>
      </w:r>
      <w:r>
        <w:t xml:space="preserve">n fact, </w:t>
      </w:r>
      <w:r w:rsidRPr="002C575C">
        <w:t>constitutionalism depends for its success on the existence and activities of non-state authorities.  It should protect, but it also requires, self-governing religious communities that operate and evolve outside and independent of governments.  It is a mistake</w:t>
      </w:r>
      <w:r>
        <w:t xml:space="preserve"> </w:t>
      </w:r>
      <w:r w:rsidRPr="002C575C">
        <w:t xml:space="preserve">to regard “religion” merely as a private practice, or even as a social phenomenon, to which constitutions respond or react.  Instead, the ongoing enterprise of constitutionalism </w:t>
      </w:r>
      <w:r>
        <w:t xml:space="preserve">is </w:t>
      </w:r>
      <w:r w:rsidRPr="002C575C">
        <w:t>one to which religious freedom contributes.  Human rights depend for protection and flourishing not only on enforceable constraints on government but also on the structure of the social order.  The autonomy that religious institutions enjoy, with respect to matters of polity, doctrine, leadership, and membership contributes to, even as it benefits from, that structure.</w:t>
      </w:r>
    </w:p>
    <w:p w:rsidR="00282870" w:rsidRDefault="00C90107" w:rsidP="00A42AB9">
      <w:pPr>
        <w:ind w:firstLine="720"/>
      </w:pPr>
      <w:r>
        <w:t xml:space="preserve">As others have noted, the “freedom of speech” cherished by most Americans requires “more </w:t>
      </w:r>
      <w:r w:rsidRPr="00C90107">
        <w:t>than mere absence of government censorship or prohibition to thrive; [it] also require[s] institutions, practices and technological structures that foster and promote [it].”</w:t>
      </w:r>
      <w:r>
        <w:rPr>
          <w:rStyle w:val="FootnoteReference"/>
        </w:rPr>
        <w:footnoteReference w:id="10"/>
      </w:r>
      <w:r>
        <w:t xml:space="preserve">  That is, </w:t>
      </w:r>
      <w:r w:rsidRPr="00C90107">
        <w:t>certain institutions</w:t>
      </w:r>
      <w:r>
        <w:t xml:space="preserve"> – newspapers, </w:t>
      </w:r>
      <w:r w:rsidRPr="00C90107">
        <w:t xml:space="preserve">political parties, interest groups, libraries, </w:t>
      </w:r>
      <w:proofErr w:type="gramStart"/>
      <w:r w:rsidRPr="00C90107">
        <w:t>universities</w:t>
      </w:r>
      <w:proofErr w:type="gramEnd"/>
      <w:r w:rsidRPr="00C90107">
        <w:t xml:space="preserve"> and so on</w:t>
      </w:r>
      <w:r>
        <w:t xml:space="preserve"> – play an important structural</w:t>
      </w:r>
      <w:r w:rsidR="00A82D4A">
        <w:t xml:space="preserve">, or “infrastructural,” role in </w:t>
      </w:r>
      <w:r w:rsidRPr="00C90107">
        <w:t xml:space="preserve">clearing out and protecting the civil-society space within which the freedom of speech can be well-exercised. The same thing can be said about religious freedom. </w:t>
      </w:r>
      <w:r w:rsidR="00A82D4A">
        <w:t xml:space="preserve"> </w:t>
      </w:r>
      <w:r w:rsidRPr="00C90107">
        <w:t>Just as</w:t>
      </w:r>
      <w:r w:rsidR="00A82D4A">
        <w:t xml:space="preserve"> freedom </w:t>
      </w:r>
      <w:r w:rsidRPr="00C90107">
        <w:t>of speech</w:t>
      </w:r>
      <w:r w:rsidR="00A82D4A">
        <w:t xml:space="preserve"> </w:t>
      </w:r>
      <w:r w:rsidRPr="00C90107">
        <w:t>depends on an infrastructure of free expression</w:t>
      </w:r>
      <w:r w:rsidR="00A82D4A">
        <w:t xml:space="preserve">, </w:t>
      </w:r>
      <w:r w:rsidRPr="00C90107">
        <w:t xml:space="preserve">freedom of religion depends on an infrastructure of, well, religious freedom. </w:t>
      </w:r>
      <w:r w:rsidR="00A82D4A">
        <w:t xml:space="preserve"> </w:t>
      </w:r>
      <w:r w:rsidRPr="00C90107">
        <w:t>Part of this infrastructure</w:t>
      </w:r>
      <w:r w:rsidR="00A82D4A">
        <w:t xml:space="preserve"> – in </w:t>
      </w:r>
      <w:r w:rsidRPr="00C90107">
        <w:t>addition to its more obvious components, like open and functioning courts, legal accommodations, thriving communications networks, etc.</w:t>
      </w:r>
      <w:r w:rsidR="00A82D4A">
        <w:t xml:space="preserve"> – is a </w:t>
      </w:r>
      <w:r w:rsidRPr="00C90107">
        <w:t>web of independent, thriving, distinctive, self-governing (in their appropriate spheres) institutions.</w:t>
      </w:r>
      <w:r w:rsidR="00A82D4A">
        <w:t xml:space="preserve">  Today, though, and in many ways, </w:t>
      </w:r>
      <w:r w:rsidR="00A82D4A" w:rsidRPr="00A82D4A">
        <w:t xml:space="preserve">the </w:t>
      </w:r>
      <w:r w:rsidR="00A82D4A">
        <w:t>“</w:t>
      </w:r>
      <w:r w:rsidR="00A82D4A" w:rsidRPr="00A82D4A">
        <w:t>infrastructure”</w:t>
      </w:r>
      <w:r w:rsidR="00A82D4A">
        <w:t xml:space="preserve"> o</w:t>
      </w:r>
      <w:r w:rsidR="00A82D4A" w:rsidRPr="00A82D4A">
        <w:t>n which authentic-freedom-under-law depends is neglected, under stress, and vulnerable.</w:t>
      </w:r>
      <w:r w:rsidR="00282870">
        <w:t xml:space="preserve">  </w:t>
      </w:r>
    </w:p>
    <w:p w:rsidR="00A963C7" w:rsidRDefault="00282870" w:rsidP="00A65020">
      <w:pPr>
        <w:ind w:firstLine="720"/>
      </w:pPr>
      <w:r>
        <w:t xml:space="preserve">Prof. Glendon described various causes and manifestations of this vulnerability recently, at Emory University, in her Harold J. Berman lecture, “Religious Freedom – A Second-Class Right?”  In that lecture, and throughout her consequential and crucial scholarly career, she warned of the dangers that attend the </w:t>
      </w:r>
      <w:r w:rsidR="007C7A92">
        <w:t xml:space="preserve">increasingly powerful drive to reduce churches to voluntary associations of individuals, to reduce religious freedom to a </w:t>
      </w:r>
      <w:r w:rsidR="00C457B2">
        <w:t>consequence</w:t>
      </w:r>
      <w:r w:rsidR="007C7A92">
        <w:t xml:space="preserve">-free and manifestation-free right of private belief, and to impose on religious and other non-state institutions the same liberal “nondiscrimination” </w:t>
      </w:r>
      <w:bookmarkStart w:id="0" w:name="_GoBack"/>
      <w:bookmarkEnd w:id="0"/>
      <w:r w:rsidR="007C7A92">
        <w:t>rules that (appropriately) apply to governments.</w:t>
      </w:r>
      <w:r w:rsidR="00A65020">
        <w:t xml:space="preserve">  As she noted, “[o]ur legal system’s neglect of the associational and institutional dimensions of religious </w:t>
      </w:r>
      <w:proofErr w:type="gramStart"/>
      <w:r w:rsidR="00A65020">
        <w:t>freedom .</w:t>
      </w:r>
      <w:proofErr w:type="gramEnd"/>
      <w:r w:rsidR="00A65020">
        <w:t xml:space="preserve"> . . seems to be accelerating.”</w:t>
      </w:r>
      <w:r w:rsidR="00A65020">
        <w:rPr>
          <w:rStyle w:val="FootnoteReference"/>
        </w:rPr>
        <w:footnoteReference w:id="11"/>
      </w:r>
      <w:r w:rsidR="00A65020">
        <w:t xml:space="preserve">  The controversies involving the so-called “HHS mandate</w:t>
      </w:r>
      <w:r w:rsidR="004D22F7">
        <w:t xml:space="preserve">,” </w:t>
      </w:r>
      <w:r w:rsidR="00771783">
        <w:t>requirements that pharmacists provide the “morning-after pill</w:t>
      </w:r>
      <w:r w:rsidR="004D22F7">
        <w:t xml:space="preserve">,” </w:t>
      </w:r>
      <w:r w:rsidR="00771783">
        <w:t>demands that Catholic adoption agencies place children with same-sex couples</w:t>
      </w:r>
      <w:r w:rsidR="004D22F7">
        <w:t xml:space="preserve">, and so on can and should be seen as examples of this neglect.  </w:t>
      </w:r>
      <w:r w:rsidR="00453396">
        <w:t xml:space="preserve">And, “Structural Free Exercise” </w:t>
      </w:r>
      <w:r w:rsidR="006606FF">
        <w:t>(</w:t>
      </w:r>
      <w:r w:rsidR="00453396">
        <w:t>still</w:t>
      </w:r>
      <w:r w:rsidR="006606FF">
        <w:t xml:space="preserve">) </w:t>
      </w:r>
      <w:r w:rsidR="006B2ADA">
        <w:t>points the way back.</w:t>
      </w:r>
      <w:r w:rsidR="00453396">
        <w:t xml:space="preserve"> </w:t>
      </w:r>
      <w:r w:rsidR="00771783">
        <w:t xml:space="preserve"> </w:t>
      </w:r>
      <w:r w:rsidR="00A65020">
        <w:t xml:space="preserve"> </w:t>
      </w:r>
      <w:r w:rsidR="00A82D4A" w:rsidRPr="00A82D4A">
        <w:t xml:space="preserve"> </w:t>
      </w:r>
    </w:p>
    <w:sectPr w:rsidR="00A963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783" w:rsidRDefault="00771783" w:rsidP="00973D77">
      <w:pPr>
        <w:spacing w:after="0" w:line="240" w:lineRule="auto"/>
      </w:pPr>
      <w:r>
        <w:separator/>
      </w:r>
    </w:p>
  </w:endnote>
  <w:endnote w:type="continuationSeparator" w:id="0">
    <w:p w:rsidR="00771783" w:rsidRDefault="00771783" w:rsidP="00973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altName w:val="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783" w:rsidRDefault="00771783" w:rsidP="00973D77">
      <w:pPr>
        <w:spacing w:after="0" w:line="240" w:lineRule="auto"/>
      </w:pPr>
      <w:r>
        <w:separator/>
      </w:r>
    </w:p>
  </w:footnote>
  <w:footnote w:type="continuationSeparator" w:id="0">
    <w:p w:rsidR="00771783" w:rsidRDefault="00771783" w:rsidP="00973D77">
      <w:pPr>
        <w:spacing w:after="0" w:line="240" w:lineRule="auto"/>
      </w:pPr>
      <w:r>
        <w:continuationSeparator/>
      </w:r>
    </w:p>
  </w:footnote>
  <w:footnote w:id="1">
    <w:p w:rsidR="00771783" w:rsidRDefault="00771783">
      <w:pPr>
        <w:pStyle w:val="FootnoteText"/>
      </w:pPr>
      <w:r>
        <w:rPr>
          <w:rStyle w:val="FootnoteReference"/>
        </w:rPr>
        <w:footnoteRef/>
      </w:r>
      <w:r>
        <w:t xml:space="preserve"> </w:t>
      </w:r>
      <w:proofErr w:type="gramStart"/>
      <w:r>
        <w:t>Professor of Law and Associate Dean for Faculty Research and Development, Notre Dame Law School.</w:t>
      </w:r>
      <w:proofErr w:type="gramEnd"/>
    </w:p>
  </w:footnote>
  <w:footnote w:id="2">
    <w:p w:rsidR="00771783" w:rsidRPr="00973D77" w:rsidRDefault="00771783">
      <w:pPr>
        <w:pStyle w:val="FootnoteText"/>
      </w:pPr>
      <w:r>
        <w:rPr>
          <w:rStyle w:val="FootnoteReference"/>
        </w:rPr>
        <w:footnoteRef/>
      </w:r>
      <w:r>
        <w:t xml:space="preserve"> Mary Ann Glendon &amp; Raul F. Yanes, </w:t>
      </w:r>
      <w:r>
        <w:rPr>
          <w:i/>
        </w:rPr>
        <w:t xml:space="preserve">Structural Free Exercise, </w:t>
      </w:r>
      <w:r>
        <w:t xml:space="preserve">90 </w:t>
      </w:r>
      <w:r w:rsidRPr="00973D77">
        <w:rPr>
          <w:smallCaps/>
        </w:rPr>
        <w:t>Mich. L. Rev.</w:t>
      </w:r>
      <w:r>
        <w:t xml:space="preserve"> 477 (1991).</w:t>
      </w:r>
    </w:p>
  </w:footnote>
  <w:footnote w:id="3">
    <w:p w:rsidR="00771783" w:rsidRPr="00E248DC" w:rsidRDefault="00771783">
      <w:pPr>
        <w:pStyle w:val="FootnoteText"/>
      </w:pPr>
      <w:r>
        <w:rPr>
          <w:rStyle w:val="FootnoteReference"/>
        </w:rPr>
        <w:footnoteRef/>
      </w:r>
      <w:r>
        <w:t xml:space="preserve"> </w:t>
      </w:r>
      <w:proofErr w:type="gramStart"/>
      <w:r>
        <w:rPr>
          <w:i/>
        </w:rPr>
        <w:t xml:space="preserve">Id. </w:t>
      </w:r>
      <w:r>
        <w:t>at 478.</w:t>
      </w:r>
      <w:proofErr w:type="gramEnd"/>
    </w:p>
  </w:footnote>
  <w:footnote w:id="4">
    <w:p w:rsidR="00771783" w:rsidRPr="00DD6861" w:rsidRDefault="00771783">
      <w:pPr>
        <w:pStyle w:val="FootnoteText"/>
      </w:pPr>
      <w:r>
        <w:rPr>
          <w:rStyle w:val="FootnoteReference"/>
        </w:rPr>
        <w:footnoteRef/>
      </w:r>
      <w:r>
        <w:rPr>
          <w:rStyle w:val="FootnoteReference"/>
        </w:rPr>
        <w:footnoteRef/>
      </w:r>
      <w:r>
        <w:t xml:space="preserve"> </w:t>
      </w:r>
      <w:r>
        <w:rPr>
          <w:i/>
        </w:rPr>
        <w:t xml:space="preserve">See, e.g., </w:t>
      </w:r>
      <w:r>
        <w:t xml:space="preserve">Richard W. Garnett, “Religious Liberty, Church Autonomy, and the Structure of Freedom,” </w:t>
      </w:r>
      <w:r>
        <w:rPr>
          <w:i/>
        </w:rPr>
        <w:t xml:space="preserve">in </w:t>
      </w:r>
      <w:r w:rsidRPr="00DD6861">
        <w:rPr>
          <w:smallCaps/>
        </w:rPr>
        <w:t xml:space="preserve">J. Witte, Jr. &amp; F. Alexander, eds., </w:t>
      </w:r>
      <w:proofErr w:type="gramStart"/>
      <w:r w:rsidRPr="00DD6861">
        <w:rPr>
          <w:smallCaps/>
        </w:rPr>
        <w:t>Christianity</w:t>
      </w:r>
      <w:proofErr w:type="gramEnd"/>
      <w:r w:rsidRPr="00DD6861">
        <w:rPr>
          <w:smallCaps/>
        </w:rPr>
        <w:t xml:space="preserve"> and Human Rights:  An Introduction </w:t>
      </w:r>
      <w:r>
        <w:t>226 (2010).</w:t>
      </w:r>
    </w:p>
  </w:footnote>
  <w:footnote w:id="5">
    <w:p w:rsidR="00771783" w:rsidRPr="00DD6861" w:rsidRDefault="00771783">
      <w:pPr>
        <w:pStyle w:val="FootnoteText"/>
      </w:pPr>
      <w:r>
        <w:rPr>
          <w:rStyle w:val="FootnoteReference"/>
        </w:rPr>
        <w:footnoteRef/>
      </w:r>
      <w:r>
        <w:t xml:space="preserve"> </w:t>
      </w:r>
      <w:proofErr w:type="gramStart"/>
      <w:r>
        <w:t>Hosanna-Tabor Evangelical Lutheran Church and School v. Equal Employment Opportunity Commission, 565 U.S. ___ (2012).</w:t>
      </w:r>
      <w:proofErr w:type="gramEnd"/>
    </w:p>
  </w:footnote>
  <w:footnote w:id="6">
    <w:p w:rsidR="00771783" w:rsidRPr="004331A8" w:rsidRDefault="00771783">
      <w:pPr>
        <w:pStyle w:val="FootnoteText"/>
      </w:pPr>
      <w:r>
        <w:rPr>
          <w:rStyle w:val="FootnoteReference"/>
        </w:rPr>
        <w:footnoteRef/>
      </w:r>
      <w:r>
        <w:t xml:space="preserve"> </w:t>
      </w:r>
      <w:proofErr w:type="gramStart"/>
      <w:r>
        <w:rPr>
          <w:i/>
        </w:rPr>
        <w:t xml:space="preserve">Id. </w:t>
      </w:r>
      <w:r>
        <w:t>at 536-37.</w:t>
      </w:r>
      <w:proofErr w:type="gramEnd"/>
    </w:p>
  </w:footnote>
  <w:footnote w:id="7">
    <w:p w:rsidR="00771783" w:rsidRPr="004331A8" w:rsidRDefault="00771783">
      <w:pPr>
        <w:pStyle w:val="FootnoteText"/>
      </w:pPr>
      <w:r>
        <w:rPr>
          <w:rStyle w:val="FootnoteReference"/>
        </w:rPr>
        <w:footnoteRef/>
      </w:r>
      <w:r>
        <w:t xml:space="preserve"> </w:t>
      </w:r>
      <w:proofErr w:type="gramStart"/>
      <w:r>
        <w:rPr>
          <w:i/>
        </w:rPr>
        <w:t xml:space="preserve">Id. </w:t>
      </w:r>
      <w:r>
        <w:t>at 544.</w:t>
      </w:r>
      <w:proofErr w:type="gramEnd"/>
    </w:p>
  </w:footnote>
  <w:footnote w:id="8">
    <w:p w:rsidR="00771783" w:rsidRPr="004331A8" w:rsidRDefault="00771783">
      <w:pPr>
        <w:pStyle w:val="FootnoteText"/>
      </w:pPr>
      <w:r>
        <w:rPr>
          <w:rStyle w:val="FootnoteReference"/>
        </w:rPr>
        <w:footnoteRef/>
      </w:r>
      <w:r>
        <w:t xml:space="preserve"> </w:t>
      </w:r>
      <w:r>
        <w:rPr>
          <w:i/>
        </w:rPr>
        <w:t xml:space="preserve">See, e.g., </w:t>
      </w:r>
      <w:r>
        <w:t xml:space="preserve">Richard W. Garnett, </w:t>
      </w:r>
      <w:r>
        <w:rPr>
          <w:i/>
        </w:rPr>
        <w:t xml:space="preserve">The Story of Henry Adams’s Soul:  Education and the Expression of Associations, </w:t>
      </w:r>
      <w:r>
        <w:t xml:space="preserve">85 </w:t>
      </w:r>
      <w:r w:rsidRPr="004331A8">
        <w:rPr>
          <w:smallCaps/>
        </w:rPr>
        <w:t>Minn. L. Rev.</w:t>
      </w:r>
      <w:r>
        <w:t xml:space="preserve"> 1841 (2001); Richard W. Garnett, </w:t>
      </w:r>
      <w:r>
        <w:rPr>
          <w:i/>
        </w:rPr>
        <w:t xml:space="preserve">Do Churches Matter?  </w:t>
      </w:r>
      <w:proofErr w:type="gramStart"/>
      <w:r>
        <w:rPr>
          <w:i/>
        </w:rPr>
        <w:t xml:space="preserve">Towards an Institutional Understanding of the Religion Clauses, </w:t>
      </w:r>
      <w:r>
        <w:t xml:space="preserve">53 </w:t>
      </w:r>
      <w:r w:rsidRPr="004331A8">
        <w:rPr>
          <w:smallCaps/>
        </w:rPr>
        <w:t>Vill.</w:t>
      </w:r>
      <w:proofErr w:type="gramEnd"/>
      <w:r w:rsidRPr="004331A8">
        <w:rPr>
          <w:smallCaps/>
        </w:rPr>
        <w:t xml:space="preserve"> L. Rev. 273</w:t>
      </w:r>
      <w:r>
        <w:t xml:space="preserve"> (2008).</w:t>
      </w:r>
    </w:p>
  </w:footnote>
  <w:footnote w:id="9">
    <w:p w:rsidR="00771783" w:rsidRPr="00A42AB9" w:rsidRDefault="00771783">
      <w:pPr>
        <w:pStyle w:val="FootnoteText"/>
      </w:pPr>
      <w:r>
        <w:rPr>
          <w:rStyle w:val="FootnoteReference"/>
        </w:rPr>
        <w:footnoteRef/>
      </w:r>
      <w:r>
        <w:t xml:space="preserve"> </w:t>
      </w:r>
      <w:r>
        <w:rPr>
          <w:i/>
        </w:rPr>
        <w:t xml:space="preserve">See generally, e.g., </w:t>
      </w:r>
      <w:r>
        <w:t xml:space="preserve">Richard W. Garnett, </w:t>
      </w:r>
      <w:r>
        <w:rPr>
          <w:i/>
        </w:rPr>
        <w:t xml:space="preserve">The Freedom of the Church, </w:t>
      </w:r>
      <w:r>
        <w:t xml:space="preserve">4 </w:t>
      </w:r>
      <w:r w:rsidRPr="00A42AB9">
        <w:rPr>
          <w:smallCaps/>
        </w:rPr>
        <w:t>J. Cath. Social Thought</w:t>
      </w:r>
      <w:r>
        <w:t xml:space="preserve"> 59 (2007).</w:t>
      </w:r>
    </w:p>
  </w:footnote>
  <w:footnote w:id="10">
    <w:p w:rsidR="00771783" w:rsidRDefault="00771783">
      <w:pPr>
        <w:pStyle w:val="FootnoteText"/>
      </w:pPr>
      <w:r>
        <w:rPr>
          <w:rStyle w:val="FootnoteReference"/>
        </w:rPr>
        <w:footnoteRef/>
      </w:r>
      <w:r>
        <w:t xml:space="preserve"> </w:t>
      </w:r>
      <w:proofErr w:type="gramStart"/>
      <w:r w:rsidRPr="00C90107">
        <w:t>Jack M. Balkin, The Infrastructure of Religious Freedom, Balkinization (May 5, 2007, 3:15 PM), http:// balkin.blogspot.com/2007/05/infrastructure-of-religious-freedom.html.</w:t>
      </w:r>
      <w:proofErr w:type="gramEnd"/>
    </w:p>
  </w:footnote>
  <w:footnote w:id="11">
    <w:p w:rsidR="00771783" w:rsidRPr="00A65020" w:rsidRDefault="00771783">
      <w:pPr>
        <w:pStyle w:val="FootnoteText"/>
      </w:pPr>
      <w:r>
        <w:rPr>
          <w:rStyle w:val="FootnoteReference"/>
        </w:rPr>
        <w:footnoteRef/>
      </w:r>
      <w:r>
        <w:t xml:space="preserve"> </w:t>
      </w:r>
      <w:proofErr w:type="gramStart"/>
      <w:r>
        <w:rPr>
          <w:i/>
        </w:rPr>
        <w:t xml:space="preserve">Id. </w:t>
      </w:r>
      <w:r>
        <w:t>at 978.</w:t>
      </w:r>
      <w:proofErr w:type="gram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D77"/>
    <w:rsid w:val="00282870"/>
    <w:rsid w:val="00287024"/>
    <w:rsid w:val="002C575C"/>
    <w:rsid w:val="004331A8"/>
    <w:rsid w:val="00453396"/>
    <w:rsid w:val="004D22F7"/>
    <w:rsid w:val="005D6794"/>
    <w:rsid w:val="006606FF"/>
    <w:rsid w:val="006B2ADA"/>
    <w:rsid w:val="006F2050"/>
    <w:rsid w:val="0072176A"/>
    <w:rsid w:val="00771783"/>
    <w:rsid w:val="007C7A92"/>
    <w:rsid w:val="00973D77"/>
    <w:rsid w:val="00A42AB9"/>
    <w:rsid w:val="00A65020"/>
    <w:rsid w:val="00A82D4A"/>
    <w:rsid w:val="00A963C7"/>
    <w:rsid w:val="00B710CD"/>
    <w:rsid w:val="00B861F8"/>
    <w:rsid w:val="00C318CA"/>
    <w:rsid w:val="00C457B2"/>
    <w:rsid w:val="00C90107"/>
    <w:rsid w:val="00CF1773"/>
    <w:rsid w:val="00D449E3"/>
    <w:rsid w:val="00DD6861"/>
    <w:rsid w:val="00E248DC"/>
    <w:rsid w:val="00E44F65"/>
    <w:rsid w:val="00F372AF"/>
    <w:rsid w:val="00FA2D31"/>
    <w:rsid w:val="00FE5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1F8"/>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73D7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3D77"/>
    <w:rPr>
      <w:rFonts w:ascii="Times New Roman" w:hAnsi="Times New Roman"/>
      <w:sz w:val="20"/>
      <w:szCs w:val="20"/>
    </w:rPr>
  </w:style>
  <w:style w:type="character" w:styleId="FootnoteReference">
    <w:name w:val="footnote reference"/>
    <w:basedOn w:val="DefaultParagraphFont"/>
    <w:uiPriority w:val="99"/>
    <w:semiHidden/>
    <w:unhideWhenUsed/>
    <w:rsid w:val="00973D7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1F8"/>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73D7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3D77"/>
    <w:rPr>
      <w:rFonts w:ascii="Times New Roman" w:hAnsi="Times New Roman"/>
      <w:sz w:val="20"/>
      <w:szCs w:val="20"/>
    </w:rPr>
  </w:style>
  <w:style w:type="character" w:styleId="FootnoteReference">
    <w:name w:val="footnote reference"/>
    <w:basedOn w:val="DefaultParagraphFont"/>
    <w:uiPriority w:val="99"/>
    <w:semiHidden/>
    <w:unhideWhenUsed/>
    <w:rsid w:val="00973D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1ECC17E-4BEA-4CFC-A41C-DB05CBC35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3</Pages>
  <Words>1334</Words>
  <Characters>7605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Notre Dame</Company>
  <LinksUpToDate>false</LinksUpToDate>
  <CharactersWithSpaces>8922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rgarnett</dc:creator>
  <cp:lastModifiedBy>rgarnett</cp:lastModifiedBy>
  <cp:revision>22</cp:revision>
  <dcterms:created xsi:type="dcterms:W3CDTF">2013-05-28T16:48:00Z</dcterms:created>
  <dcterms:modified xsi:type="dcterms:W3CDTF">2013-05-28T18:09:00Z</dcterms:modified>
</cp:coreProperties>
</file>