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63DC6" w14:textId="77777777" w:rsidR="00CD3D07" w:rsidRPr="00BD7DAC" w:rsidRDefault="007C1903" w:rsidP="006E16E8">
      <w:pPr>
        <w:spacing w:line="360" w:lineRule="auto"/>
        <w:rPr>
          <w:sz w:val="28"/>
          <w:szCs w:val="28"/>
        </w:rPr>
      </w:pPr>
      <w:r w:rsidRPr="006E16E8">
        <w:rPr>
          <w:b/>
          <w:sz w:val="28"/>
          <w:szCs w:val="28"/>
          <w:u w:val="single"/>
        </w:rPr>
        <w:t>MINISTERIAL EXCEPTION: FED SOC TELEFORUM</w:t>
      </w:r>
    </w:p>
    <w:p w14:paraId="10A4B1B9" w14:textId="4D838B58" w:rsidR="00BD7DAC" w:rsidRPr="00BD7DAC" w:rsidRDefault="00BD7DAC" w:rsidP="006E16E8">
      <w:pPr>
        <w:spacing w:line="360" w:lineRule="auto"/>
        <w:rPr>
          <w:sz w:val="28"/>
          <w:szCs w:val="28"/>
        </w:rPr>
      </w:pPr>
      <w:r w:rsidRPr="00BD7DAC">
        <w:rPr>
          <w:sz w:val="28"/>
          <w:szCs w:val="28"/>
        </w:rPr>
        <w:tab/>
      </w:r>
      <w:r>
        <w:rPr>
          <w:sz w:val="28"/>
          <w:szCs w:val="28"/>
        </w:rPr>
        <w:t>I should say that I filed an amicus brief in previous round of litigation supporting the ministerial-allowance exclusion. But today I’ll be discussing the constitutional arguments on both sides.</w:t>
      </w:r>
    </w:p>
    <w:p w14:paraId="6A233629" w14:textId="26AB31DD" w:rsidR="00DF48DD" w:rsidRPr="006E16E8" w:rsidRDefault="008E6DA0" w:rsidP="006E16E8">
      <w:pPr>
        <w:spacing w:line="360" w:lineRule="auto"/>
        <w:rPr>
          <w:sz w:val="28"/>
          <w:szCs w:val="28"/>
        </w:rPr>
      </w:pPr>
      <w:r w:rsidRPr="006E16E8">
        <w:rPr>
          <w:b/>
          <w:sz w:val="28"/>
          <w:szCs w:val="28"/>
          <w:u w:val="single"/>
        </w:rPr>
        <w:t xml:space="preserve">I. </w:t>
      </w:r>
      <w:r w:rsidR="00DF48DD" w:rsidRPr="006E16E8">
        <w:rPr>
          <w:b/>
          <w:sz w:val="28"/>
          <w:szCs w:val="28"/>
          <w:u w:val="single"/>
        </w:rPr>
        <w:t>Background</w:t>
      </w:r>
    </w:p>
    <w:p w14:paraId="63E1AC18" w14:textId="5A19C499" w:rsidR="00185522" w:rsidRPr="006E16E8" w:rsidRDefault="00F079D5" w:rsidP="006E16E8">
      <w:pPr>
        <w:spacing w:line="360" w:lineRule="auto"/>
        <w:ind w:firstLine="720"/>
        <w:rPr>
          <w:sz w:val="28"/>
          <w:szCs w:val="28"/>
        </w:rPr>
      </w:pPr>
      <w:r w:rsidRPr="006E16E8">
        <w:rPr>
          <w:sz w:val="28"/>
          <w:szCs w:val="28"/>
        </w:rPr>
        <w:t xml:space="preserve">Section 107 contains two provisions permitting </w:t>
      </w:r>
      <w:r w:rsidR="00116E2B" w:rsidRPr="006E16E8">
        <w:rPr>
          <w:sz w:val="28"/>
          <w:szCs w:val="28"/>
        </w:rPr>
        <w:t xml:space="preserve">a minister to exclude the </w:t>
      </w:r>
      <w:r w:rsidR="003924F0">
        <w:rPr>
          <w:sz w:val="28"/>
          <w:szCs w:val="28"/>
        </w:rPr>
        <w:t xml:space="preserve">rental </w:t>
      </w:r>
      <w:r w:rsidR="00116E2B" w:rsidRPr="006E16E8">
        <w:rPr>
          <w:sz w:val="28"/>
          <w:szCs w:val="28"/>
        </w:rPr>
        <w:t xml:space="preserve">value of church-provided </w:t>
      </w:r>
      <w:r w:rsidRPr="006E16E8">
        <w:rPr>
          <w:sz w:val="28"/>
          <w:szCs w:val="28"/>
        </w:rPr>
        <w:t xml:space="preserve">housing </w:t>
      </w:r>
      <w:r w:rsidR="00116E2B" w:rsidRPr="006E16E8">
        <w:rPr>
          <w:sz w:val="28"/>
          <w:szCs w:val="28"/>
        </w:rPr>
        <w:t xml:space="preserve">from his/her income. </w:t>
      </w:r>
      <w:r w:rsidRPr="006E16E8">
        <w:rPr>
          <w:sz w:val="28"/>
          <w:szCs w:val="28"/>
        </w:rPr>
        <w:t xml:space="preserve">107(1), enacted back in 1921, </w:t>
      </w:r>
      <w:r w:rsidR="00116E2B" w:rsidRPr="006E16E8">
        <w:rPr>
          <w:sz w:val="28"/>
          <w:szCs w:val="28"/>
        </w:rPr>
        <w:t>authorizes this exclusion for ministers living in church-owned parsonages. 107(2), enacted in 1954, extends the ex</w:t>
      </w:r>
      <w:r w:rsidR="003924F0">
        <w:rPr>
          <w:sz w:val="28"/>
          <w:szCs w:val="28"/>
        </w:rPr>
        <w:t xml:space="preserve">clusion </w:t>
      </w:r>
      <w:r w:rsidR="00116E2B" w:rsidRPr="006E16E8">
        <w:rPr>
          <w:sz w:val="28"/>
          <w:szCs w:val="28"/>
        </w:rPr>
        <w:t xml:space="preserve">to </w:t>
      </w:r>
      <w:r w:rsidR="00185522" w:rsidRPr="006E16E8">
        <w:rPr>
          <w:sz w:val="28"/>
          <w:szCs w:val="28"/>
        </w:rPr>
        <w:t xml:space="preserve">a cash allowance the minister receives to buy or rent separate housing. The current challenges in Wisconsin have aimed at 107(2), the </w:t>
      </w:r>
      <w:r w:rsidR="003924F0">
        <w:rPr>
          <w:sz w:val="28"/>
          <w:szCs w:val="28"/>
        </w:rPr>
        <w:t xml:space="preserve">exclusion of the </w:t>
      </w:r>
      <w:r w:rsidR="00185522" w:rsidRPr="006E16E8">
        <w:rPr>
          <w:sz w:val="28"/>
          <w:szCs w:val="28"/>
        </w:rPr>
        <w:t xml:space="preserve">allowance </w:t>
      </w:r>
      <w:r w:rsidR="00B54C70">
        <w:rPr>
          <w:sz w:val="28"/>
          <w:szCs w:val="28"/>
        </w:rPr>
        <w:t xml:space="preserve">provided </w:t>
      </w:r>
      <w:r w:rsidR="00185522" w:rsidRPr="006E16E8">
        <w:rPr>
          <w:sz w:val="28"/>
          <w:szCs w:val="28"/>
        </w:rPr>
        <w:t>for independent housing.</w:t>
      </w:r>
    </w:p>
    <w:p w14:paraId="2F1864D7" w14:textId="77777777" w:rsidR="007C1903" w:rsidRPr="006E16E8" w:rsidRDefault="008E6DA0" w:rsidP="006E16E8">
      <w:pPr>
        <w:spacing w:line="360" w:lineRule="auto"/>
        <w:rPr>
          <w:sz w:val="28"/>
          <w:szCs w:val="28"/>
        </w:rPr>
      </w:pPr>
      <w:r w:rsidRPr="006E16E8">
        <w:rPr>
          <w:b/>
          <w:sz w:val="28"/>
          <w:szCs w:val="28"/>
          <w:u w:val="single"/>
        </w:rPr>
        <w:t xml:space="preserve">II. </w:t>
      </w:r>
      <w:r w:rsidR="007C1903" w:rsidRPr="006E16E8">
        <w:rPr>
          <w:b/>
          <w:sz w:val="28"/>
          <w:szCs w:val="28"/>
          <w:u w:val="single"/>
        </w:rPr>
        <w:t>Standing</w:t>
      </w:r>
    </w:p>
    <w:p w14:paraId="55E15ED3" w14:textId="640C18D6" w:rsidR="007C1903" w:rsidRPr="006E16E8" w:rsidRDefault="008D4572" w:rsidP="006E16E8">
      <w:pPr>
        <w:spacing w:line="360" w:lineRule="auto"/>
        <w:ind w:firstLine="720"/>
        <w:rPr>
          <w:sz w:val="28"/>
          <w:szCs w:val="28"/>
        </w:rPr>
      </w:pPr>
      <w:r w:rsidRPr="006E16E8">
        <w:rPr>
          <w:sz w:val="28"/>
          <w:szCs w:val="28"/>
        </w:rPr>
        <w:t>Of course, to challenge a statute in federal court, the plaintiff must have standing to sue, i.e. she must suffer a legal injury</w:t>
      </w:r>
      <w:r w:rsidR="003D4BFA" w:rsidRPr="006E16E8">
        <w:rPr>
          <w:sz w:val="28"/>
          <w:szCs w:val="28"/>
        </w:rPr>
        <w:t>, either in the past or imminently</w:t>
      </w:r>
      <w:r w:rsidRPr="006E16E8">
        <w:rPr>
          <w:sz w:val="28"/>
          <w:szCs w:val="28"/>
        </w:rPr>
        <w:t xml:space="preserve">. </w:t>
      </w:r>
      <w:r w:rsidR="003924F0">
        <w:rPr>
          <w:sz w:val="28"/>
          <w:szCs w:val="28"/>
        </w:rPr>
        <w:t xml:space="preserve">Annie </w:t>
      </w:r>
      <w:r w:rsidRPr="006E16E8">
        <w:rPr>
          <w:sz w:val="28"/>
          <w:szCs w:val="28"/>
        </w:rPr>
        <w:t>Gaylor</w:t>
      </w:r>
      <w:r w:rsidR="003D4BFA" w:rsidRPr="006E16E8">
        <w:rPr>
          <w:sz w:val="28"/>
          <w:szCs w:val="28"/>
        </w:rPr>
        <w:t>’s</w:t>
      </w:r>
      <w:r w:rsidRPr="006E16E8">
        <w:rPr>
          <w:sz w:val="28"/>
          <w:szCs w:val="28"/>
        </w:rPr>
        <w:t xml:space="preserve"> allege</w:t>
      </w:r>
      <w:r w:rsidR="003D4BFA" w:rsidRPr="006E16E8">
        <w:rPr>
          <w:sz w:val="28"/>
          <w:szCs w:val="28"/>
        </w:rPr>
        <w:t>d injury</w:t>
      </w:r>
      <w:r w:rsidRPr="006E16E8">
        <w:rPr>
          <w:sz w:val="28"/>
          <w:szCs w:val="28"/>
        </w:rPr>
        <w:t xml:space="preserve"> is unequal treatment in that, as leader of a nonreligious organization, she was denied the housing allowance available to ministers of religious organizations. In an earlier lawsuit, the court of appeals held that she lacked standing because she had not yet applied to claim the allowance and </w:t>
      </w:r>
      <w:r w:rsidR="003D4BFA" w:rsidRPr="006E16E8">
        <w:rPr>
          <w:sz w:val="28"/>
          <w:szCs w:val="28"/>
        </w:rPr>
        <w:t xml:space="preserve">been </w:t>
      </w:r>
      <w:r w:rsidRPr="006E16E8">
        <w:rPr>
          <w:sz w:val="28"/>
          <w:szCs w:val="28"/>
        </w:rPr>
        <w:t>denied. But Gaylor then applied</w:t>
      </w:r>
      <w:r w:rsidR="003D4BFA" w:rsidRPr="006E16E8">
        <w:rPr>
          <w:sz w:val="28"/>
          <w:szCs w:val="28"/>
        </w:rPr>
        <w:t xml:space="preserve">, and the IRS ultimately denied her request. That appears to give her standing, and the government concedes it did. There are some complications—for example, the IRS did not issue the denial </w:t>
      </w:r>
      <w:r w:rsidR="00F079D5" w:rsidRPr="006E16E8">
        <w:rPr>
          <w:sz w:val="28"/>
          <w:szCs w:val="28"/>
        </w:rPr>
        <w:t xml:space="preserve">letter </w:t>
      </w:r>
      <w:r w:rsidR="003D4BFA" w:rsidRPr="006E16E8">
        <w:rPr>
          <w:sz w:val="28"/>
          <w:szCs w:val="28"/>
        </w:rPr>
        <w:t>until after she had sued—but in the end, it seems likely t</w:t>
      </w:r>
      <w:r w:rsidR="00F079D5" w:rsidRPr="006E16E8">
        <w:rPr>
          <w:sz w:val="28"/>
          <w:szCs w:val="28"/>
        </w:rPr>
        <w:t>hat standing is now established, and the court will reach the merits.</w:t>
      </w:r>
    </w:p>
    <w:p w14:paraId="097DF646" w14:textId="77777777" w:rsidR="007C1903" w:rsidRPr="006E16E8" w:rsidRDefault="008E6DA0" w:rsidP="006E16E8">
      <w:pPr>
        <w:spacing w:line="360" w:lineRule="auto"/>
        <w:rPr>
          <w:sz w:val="28"/>
          <w:szCs w:val="28"/>
        </w:rPr>
      </w:pPr>
      <w:r w:rsidRPr="006E16E8">
        <w:rPr>
          <w:b/>
          <w:sz w:val="28"/>
          <w:szCs w:val="28"/>
          <w:u w:val="single"/>
        </w:rPr>
        <w:lastRenderedPageBreak/>
        <w:t xml:space="preserve">III. </w:t>
      </w:r>
      <w:r w:rsidR="007C1903" w:rsidRPr="006E16E8">
        <w:rPr>
          <w:b/>
          <w:sz w:val="28"/>
          <w:szCs w:val="28"/>
          <w:u w:val="single"/>
        </w:rPr>
        <w:t>Establishment Clause Issue</w:t>
      </w:r>
    </w:p>
    <w:p w14:paraId="76AF0A3E" w14:textId="73CE7508" w:rsidR="00E629F6" w:rsidRPr="006E16E8" w:rsidRDefault="003924F0" w:rsidP="006E16E8">
      <w:pPr>
        <w:spacing w:line="360" w:lineRule="auto"/>
        <w:ind w:firstLine="720"/>
        <w:rPr>
          <w:sz w:val="28"/>
          <w:szCs w:val="28"/>
        </w:rPr>
      </w:pPr>
      <w:r>
        <w:rPr>
          <w:sz w:val="28"/>
          <w:szCs w:val="28"/>
        </w:rPr>
        <w:t xml:space="preserve">Under the Establishment Clause, the </w:t>
      </w:r>
      <w:r w:rsidR="00E629F6" w:rsidRPr="006E16E8">
        <w:rPr>
          <w:sz w:val="28"/>
          <w:szCs w:val="28"/>
        </w:rPr>
        <w:t>government can’t give a bare preference to religion—favoring religion for its own sake. But it can exempt religion from regulation, including tax re</w:t>
      </w:r>
      <w:r w:rsidR="00426D8F" w:rsidRPr="006E16E8">
        <w:rPr>
          <w:sz w:val="28"/>
          <w:szCs w:val="28"/>
        </w:rPr>
        <w:t xml:space="preserve">gulation, in two categories of </w:t>
      </w:r>
      <w:r w:rsidR="00E629F6" w:rsidRPr="006E16E8">
        <w:rPr>
          <w:sz w:val="28"/>
          <w:szCs w:val="28"/>
        </w:rPr>
        <w:t>circumstances.</w:t>
      </w:r>
    </w:p>
    <w:p w14:paraId="0228D6B0" w14:textId="23E29E47" w:rsidR="00E629F6" w:rsidRPr="006E16E8" w:rsidRDefault="008838FD" w:rsidP="006E16E8">
      <w:pPr>
        <w:spacing w:line="360" w:lineRule="auto"/>
        <w:ind w:firstLine="720"/>
        <w:rPr>
          <w:sz w:val="28"/>
          <w:szCs w:val="28"/>
        </w:rPr>
      </w:pPr>
      <w:r w:rsidRPr="006E16E8">
        <w:rPr>
          <w:sz w:val="28"/>
          <w:szCs w:val="28"/>
        </w:rPr>
        <w:t xml:space="preserve">A. </w:t>
      </w:r>
      <w:r w:rsidR="00E629F6" w:rsidRPr="006E16E8">
        <w:rPr>
          <w:sz w:val="28"/>
          <w:szCs w:val="28"/>
        </w:rPr>
        <w:t xml:space="preserve">The first category </w:t>
      </w:r>
      <w:r w:rsidR="00052B26" w:rsidRPr="006E16E8">
        <w:rPr>
          <w:sz w:val="28"/>
          <w:szCs w:val="28"/>
        </w:rPr>
        <w:t xml:space="preserve">involves </w:t>
      </w:r>
      <w:r w:rsidR="00E629F6" w:rsidRPr="006E16E8">
        <w:rPr>
          <w:rFonts w:cs="Times New Roman"/>
          <w:sz w:val="28"/>
          <w:szCs w:val="28"/>
        </w:rPr>
        <w:t>protections for religion that are also given to a variety of nonreligious organizations or activities, based on some common feature and reflecting some purpose for the protection other than simply religious freedom itself.</w:t>
      </w:r>
      <w:r w:rsidR="009B5824" w:rsidRPr="006E16E8">
        <w:rPr>
          <w:rFonts w:cs="Times New Roman"/>
          <w:sz w:val="28"/>
          <w:szCs w:val="28"/>
        </w:rPr>
        <w:t xml:space="preserve"> </w:t>
      </w:r>
      <w:r w:rsidR="00EB753E" w:rsidRPr="006E16E8">
        <w:rPr>
          <w:rFonts w:cs="Times New Roman"/>
          <w:sz w:val="28"/>
          <w:szCs w:val="28"/>
        </w:rPr>
        <w:t xml:space="preserve">For example, the Court in the </w:t>
      </w:r>
      <w:r w:rsidR="00EB753E" w:rsidRPr="006E16E8">
        <w:rPr>
          <w:rFonts w:cs="Times New Roman"/>
          <w:i/>
          <w:sz w:val="28"/>
          <w:szCs w:val="28"/>
        </w:rPr>
        <w:t>Walz</w:t>
      </w:r>
      <w:r w:rsidR="00EB753E" w:rsidRPr="006E16E8">
        <w:rPr>
          <w:rFonts w:cs="Times New Roman"/>
          <w:sz w:val="28"/>
          <w:szCs w:val="28"/>
        </w:rPr>
        <w:t xml:space="preserve"> case (1970)</w:t>
      </w:r>
      <w:r w:rsidR="00052B26" w:rsidRPr="006E16E8">
        <w:rPr>
          <w:rFonts w:cs="Times New Roman"/>
          <w:sz w:val="28"/>
          <w:szCs w:val="28"/>
        </w:rPr>
        <w:t xml:space="preserve"> upheld the constitutionality of exempting religious organizations from property taxes along with a wide </w:t>
      </w:r>
      <w:r w:rsidR="003F1095" w:rsidRPr="006E16E8">
        <w:rPr>
          <w:rFonts w:cs="Times New Roman"/>
          <w:sz w:val="28"/>
          <w:szCs w:val="28"/>
        </w:rPr>
        <w:t xml:space="preserve">range </w:t>
      </w:r>
      <w:r w:rsidR="00052B26" w:rsidRPr="006E16E8">
        <w:rPr>
          <w:rFonts w:cs="Times New Roman"/>
          <w:sz w:val="28"/>
          <w:szCs w:val="28"/>
        </w:rPr>
        <w:t>of nonreligious charitable organizations.</w:t>
      </w:r>
    </w:p>
    <w:p w14:paraId="16E2E5C4" w14:textId="2A211463" w:rsidR="003C04E5" w:rsidRPr="006E16E8" w:rsidRDefault="00F22150" w:rsidP="006E16E8">
      <w:pPr>
        <w:spacing w:line="360" w:lineRule="auto"/>
        <w:ind w:firstLine="720"/>
        <w:rPr>
          <w:sz w:val="28"/>
          <w:szCs w:val="28"/>
        </w:rPr>
      </w:pPr>
      <w:r w:rsidRPr="006E16E8">
        <w:rPr>
          <w:sz w:val="28"/>
          <w:szCs w:val="28"/>
        </w:rPr>
        <w:t>The defen</w:t>
      </w:r>
      <w:r w:rsidR="003F1095" w:rsidRPr="006E16E8">
        <w:rPr>
          <w:sz w:val="28"/>
          <w:szCs w:val="28"/>
        </w:rPr>
        <w:t>se</w:t>
      </w:r>
      <w:r w:rsidRPr="006E16E8">
        <w:rPr>
          <w:sz w:val="28"/>
          <w:szCs w:val="28"/>
        </w:rPr>
        <w:t xml:space="preserve"> of the </w:t>
      </w:r>
      <w:r w:rsidR="00430677" w:rsidRPr="006E16E8">
        <w:rPr>
          <w:sz w:val="28"/>
          <w:szCs w:val="28"/>
        </w:rPr>
        <w:t>ministerial</w:t>
      </w:r>
      <w:r w:rsidR="00076F5A" w:rsidRPr="006E16E8">
        <w:rPr>
          <w:sz w:val="28"/>
          <w:szCs w:val="28"/>
        </w:rPr>
        <w:t>-allowance</w:t>
      </w:r>
      <w:r w:rsidR="00430677" w:rsidRPr="006E16E8">
        <w:rPr>
          <w:sz w:val="28"/>
          <w:szCs w:val="28"/>
        </w:rPr>
        <w:t xml:space="preserve"> </w:t>
      </w:r>
      <w:r w:rsidRPr="006E16E8">
        <w:rPr>
          <w:sz w:val="28"/>
          <w:szCs w:val="28"/>
        </w:rPr>
        <w:t xml:space="preserve">exclusion </w:t>
      </w:r>
      <w:r w:rsidR="00430677" w:rsidRPr="006E16E8">
        <w:rPr>
          <w:sz w:val="28"/>
          <w:szCs w:val="28"/>
        </w:rPr>
        <w:t>put</w:t>
      </w:r>
      <w:r w:rsidR="003F1095" w:rsidRPr="006E16E8">
        <w:rPr>
          <w:sz w:val="28"/>
          <w:szCs w:val="28"/>
        </w:rPr>
        <w:t>s</w:t>
      </w:r>
      <w:r w:rsidR="00430677" w:rsidRPr="006E16E8">
        <w:rPr>
          <w:sz w:val="28"/>
          <w:szCs w:val="28"/>
        </w:rPr>
        <w:t xml:space="preserve"> it in this category: as part of a </w:t>
      </w:r>
      <w:r w:rsidR="007A3B00" w:rsidRPr="006E16E8">
        <w:rPr>
          <w:sz w:val="28"/>
          <w:szCs w:val="28"/>
        </w:rPr>
        <w:t xml:space="preserve">set of </w:t>
      </w:r>
      <w:r w:rsidR="00430677" w:rsidRPr="006E16E8">
        <w:rPr>
          <w:sz w:val="28"/>
          <w:szCs w:val="28"/>
        </w:rPr>
        <w:t xml:space="preserve">exclusions for persons whose housing is </w:t>
      </w:r>
      <w:r w:rsidR="004B1DEB">
        <w:rPr>
          <w:sz w:val="28"/>
          <w:szCs w:val="28"/>
        </w:rPr>
        <w:t xml:space="preserve">constrained </w:t>
      </w:r>
      <w:r w:rsidR="00430677" w:rsidRPr="006E16E8">
        <w:rPr>
          <w:sz w:val="28"/>
          <w:szCs w:val="28"/>
        </w:rPr>
        <w:t xml:space="preserve">by, and used for, the </w:t>
      </w:r>
      <w:r w:rsidR="003F1095" w:rsidRPr="006E16E8">
        <w:rPr>
          <w:sz w:val="28"/>
          <w:szCs w:val="28"/>
        </w:rPr>
        <w:t>needs of their employer</w:t>
      </w:r>
      <w:r w:rsidR="00430677" w:rsidRPr="006E16E8">
        <w:rPr>
          <w:sz w:val="28"/>
          <w:szCs w:val="28"/>
        </w:rPr>
        <w:t>.</w:t>
      </w:r>
      <w:r w:rsidR="003C04E5" w:rsidRPr="006E16E8">
        <w:rPr>
          <w:sz w:val="28"/>
          <w:szCs w:val="28"/>
        </w:rPr>
        <w:t xml:space="preserve"> </w:t>
      </w:r>
      <w:r w:rsidR="00430677" w:rsidRPr="006E16E8">
        <w:rPr>
          <w:sz w:val="28"/>
          <w:szCs w:val="28"/>
        </w:rPr>
        <w:t>T</w:t>
      </w:r>
      <w:r w:rsidR="007A3B00" w:rsidRPr="006E16E8">
        <w:rPr>
          <w:sz w:val="28"/>
          <w:szCs w:val="28"/>
        </w:rPr>
        <w:t xml:space="preserve">his </w:t>
      </w:r>
      <w:r w:rsidR="003F1095" w:rsidRPr="006E16E8">
        <w:rPr>
          <w:sz w:val="28"/>
          <w:szCs w:val="28"/>
        </w:rPr>
        <w:t xml:space="preserve">set </w:t>
      </w:r>
      <w:r w:rsidR="007A3B00" w:rsidRPr="006E16E8">
        <w:rPr>
          <w:sz w:val="28"/>
          <w:szCs w:val="28"/>
        </w:rPr>
        <w:t xml:space="preserve">includes </w:t>
      </w:r>
      <w:r w:rsidR="003C04E5" w:rsidRPr="006E16E8">
        <w:rPr>
          <w:sz w:val="28"/>
          <w:szCs w:val="28"/>
        </w:rPr>
        <w:t xml:space="preserve">two </w:t>
      </w:r>
      <w:r w:rsidR="003C04E5" w:rsidRPr="006E16E8">
        <w:rPr>
          <w:sz w:val="28"/>
          <w:szCs w:val="28"/>
          <w:u w:val="single"/>
        </w:rPr>
        <w:t>specific</w:t>
      </w:r>
      <w:r w:rsidR="003C04E5" w:rsidRPr="006E16E8">
        <w:rPr>
          <w:sz w:val="28"/>
          <w:szCs w:val="28"/>
        </w:rPr>
        <w:t xml:space="preserve"> groups of employees who can exclude a cash allowance for housing: military personnel and citizens sent abroad by their employers. These employees tend to face limited housing choices—they </w:t>
      </w:r>
      <w:r w:rsidR="00C4530E">
        <w:rPr>
          <w:sz w:val="28"/>
          <w:szCs w:val="28"/>
        </w:rPr>
        <w:t xml:space="preserve">often must </w:t>
      </w:r>
      <w:r w:rsidR="003C04E5" w:rsidRPr="006E16E8">
        <w:rPr>
          <w:sz w:val="28"/>
          <w:szCs w:val="28"/>
        </w:rPr>
        <w:t>live near the military base o</w:t>
      </w:r>
      <w:r w:rsidR="004B1DEB">
        <w:rPr>
          <w:sz w:val="28"/>
          <w:szCs w:val="28"/>
        </w:rPr>
        <w:t>r</w:t>
      </w:r>
      <w:r w:rsidR="003C04E5" w:rsidRPr="006E16E8">
        <w:rPr>
          <w:sz w:val="28"/>
          <w:szCs w:val="28"/>
        </w:rPr>
        <w:t xml:space="preserve"> in an expatriate compound—and </w:t>
      </w:r>
      <w:r w:rsidR="00C4530E">
        <w:rPr>
          <w:sz w:val="28"/>
          <w:szCs w:val="28"/>
        </w:rPr>
        <w:t xml:space="preserve">also face </w:t>
      </w:r>
      <w:r w:rsidR="003C04E5" w:rsidRPr="006E16E8">
        <w:rPr>
          <w:sz w:val="28"/>
          <w:szCs w:val="28"/>
        </w:rPr>
        <w:t>extra burdens from frequent or distant relocation. Ministers probably fit this category too; many hav</w:t>
      </w:r>
      <w:r w:rsidR="004B1DEB">
        <w:rPr>
          <w:sz w:val="28"/>
          <w:szCs w:val="28"/>
        </w:rPr>
        <w:t>e</w:t>
      </w:r>
      <w:r w:rsidR="003C04E5" w:rsidRPr="006E16E8">
        <w:rPr>
          <w:sz w:val="28"/>
          <w:szCs w:val="28"/>
        </w:rPr>
        <w:t xml:space="preserve"> to live near the church to be on call. But these two </w:t>
      </w:r>
      <w:r w:rsidR="00C4530E">
        <w:rPr>
          <w:sz w:val="28"/>
          <w:szCs w:val="28"/>
        </w:rPr>
        <w:t>examples</w:t>
      </w:r>
      <w:r w:rsidR="003C04E5" w:rsidRPr="006E16E8">
        <w:rPr>
          <w:sz w:val="28"/>
          <w:szCs w:val="28"/>
        </w:rPr>
        <w:t xml:space="preserve"> alone are far narrower than the range of organizations receiving property-tax exemptions in the </w:t>
      </w:r>
      <w:r w:rsidR="003C04E5" w:rsidRPr="006E16E8">
        <w:rPr>
          <w:i/>
          <w:sz w:val="28"/>
          <w:szCs w:val="28"/>
        </w:rPr>
        <w:t>Walz</w:t>
      </w:r>
      <w:r w:rsidR="003C04E5" w:rsidRPr="006E16E8">
        <w:rPr>
          <w:sz w:val="28"/>
          <w:szCs w:val="28"/>
        </w:rPr>
        <w:t xml:space="preserve"> case.</w:t>
      </w:r>
    </w:p>
    <w:p w14:paraId="5F69EF93" w14:textId="1BCBB1AA" w:rsidR="003F1095" w:rsidRPr="006E16E8" w:rsidRDefault="00692B5B" w:rsidP="006E16E8">
      <w:pPr>
        <w:spacing w:line="360" w:lineRule="auto"/>
        <w:ind w:firstLine="720"/>
        <w:rPr>
          <w:sz w:val="28"/>
          <w:szCs w:val="28"/>
        </w:rPr>
      </w:pPr>
      <w:r w:rsidRPr="006E16E8">
        <w:rPr>
          <w:sz w:val="28"/>
          <w:szCs w:val="28"/>
        </w:rPr>
        <w:t xml:space="preserve">But the ministerial exclusion </w:t>
      </w:r>
      <w:r w:rsidR="004B1DEB">
        <w:rPr>
          <w:sz w:val="28"/>
          <w:szCs w:val="28"/>
        </w:rPr>
        <w:t>c</w:t>
      </w:r>
      <w:r w:rsidRPr="006E16E8">
        <w:rPr>
          <w:sz w:val="28"/>
          <w:szCs w:val="28"/>
        </w:rPr>
        <w:t xml:space="preserve">an also be analogized to </w:t>
      </w:r>
      <w:r w:rsidR="007A3B00" w:rsidRPr="006E16E8">
        <w:rPr>
          <w:sz w:val="28"/>
          <w:szCs w:val="28"/>
        </w:rPr>
        <w:t>t</w:t>
      </w:r>
      <w:r w:rsidR="00430677" w:rsidRPr="006E16E8">
        <w:rPr>
          <w:sz w:val="28"/>
          <w:szCs w:val="28"/>
        </w:rPr>
        <w:t>wo</w:t>
      </w:r>
      <w:r w:rsidRPr="006E16E8">
        <w:rPr>
          <w:sz w:val="28"/>
          <w:szCs w:val="28"/>
        </w:rPr>
        <w:t xml:space="preserve"> much broader,</w:t>
      </w:r>
      <w:r w:rsidR="00430677" w:rsidRPr="006E16E8">
        <w:rPr>
          <w:sz w:val="28"/>
          <w:szCs w:val="28"/>
        </w:rPr>
        <w:t xml:space="preserve"> </w:t>
      </w:r>
      <w:r w:rsidR="004A6C17" w:rsidRPr="006E16E8">
        <w:rPr>
          <w:sz w:val="28"/>
          <w:szCs w:val="28"/>
          <w:u w:val="single"/>
        </w:rPr>
        <w:t>general</w:t>
      </w:r>
      <w:r w:rsidR="004A6C17" w:rsidRPr="006E16E8">
        <w:rPr>
          <w:sz w:val="28"/>
          <w:szCs w:val="28"/>
        </w:rPr>
        <w:t xml:space="preserve"> provisions excluding the value of a home that is </w:t>
      </w:r>
      <w:r w:rsidR="00076F5A" w:rsidRPr="006E16E8">
        <w:rPr>
          <w:sz w:val="28"/>
          <w:szCs w:val="28"/>
        </w:rPr>
        <w:t>used regularly “for the convenience of the employer” or “for business purposes.”</w:t>
      </w:r>
      <w:r w:rsidRPr="006E16E8">
        <w:rPr>
          <w:sz w:val="28"/>
          <w:szCs w:val="28"/>
        </w:rPr>
        <w:t xml:space="preserve"> Many ministers open </w:t>
      </w:r>
      <w:r w:rsidRPr="006E16E8">
        <w:rPr>
          <w:sz w:val="28"/>
          <w:szCs w:val="28"/>
        </w:rPr>
        <w:lastRenderedPageBreak/>
        <w:t>their homes regularly for church activities; the court may accept this generalization and see the ministerial exclusion as analogous to these broad sets.</w:t>
      </w:r>
      <w:r w:rsidR="00076F5A" w:rsidRPr="006E16E8">
        <w:rPr>
          <w:sz w:val="28"/>
          <w:szCs w:val="28"/>
        </w:rPr>
        <w:t xml:space="preserve"> The </w:t>
      </w:r>
      <w:r w:rsidRPr="006E16E8">
        <w:rPr>
          <w:sz w:val="28"/>
          <w:szCs w:val="28"/>
        </w:rPr>
        <w:t xml:space="preserve">counterargument is that the </w:t>
      </w:r>
      <w:r w:rsidR="00076F5A" w:rsidRPr="006E16E8">
        <w:rPr>
          <w:sz w:val="28"/>
          <w:szCs w:val="28"/>
        </w:rPr>
        <w:t>ministerial exclusion</w:t>
      </w:r>
      <w:r w:rsidRPr="006E16E8">
        <w:rPr>
          <w:sz w:val="28"/>
          <w:szCs w:val="28"/>
        </w:rPr>
        <w:t xml:space="preserve"> goes further than </w:t>
      </w:r>
      <w:r w:rsidR="00076F5A" w:rsidRPr="006E16E8">
        <w:rPr>
          <w:sz w:val="28"/>
          <w:szCs w:val="28"/>
        </w:rPr>
        <w:t xml:space="preserve">these: a minister can claim it without showing that his or her home is actually used for the church. </w:t>
      </w:r>
      <w:r w:rsidRPr="006E16E8">
        <w:rPr>
          <w:sz w:val="28"/>
          <w:szCs w:val="28"/>
        </w:rPr>
        <w:t xml:space="preserve">And many </w:t>
      </w:r>
      <w:r w:rsidR="003F1095" w:rsidRPr="006E16E8">
        <w:rPr>
          <w:sz w:val="28"/>
          <w:szCs w:val="28"/>
        </w:rPr>
        <w:t>ministers—p</w:t>
      </w:r>
      <w:r w:rsidR="004B1DEB">
        <w:rPr>
          <w:sz w:val="28"/>
          <w:szCs w:val="28"/>
        </w:rPr>
        <w:t xml:space="preserve">robably </w:t>
      </w:r>
      <w:r w:rsidR="003F1095" w:rsidRPr="006E16E8">
        <w:rPr>
          <w:sz w:val="28"/>
          <w:szCs w:val="28"/>
        </w:rPr>
        <w:t>an increasing number—don’t use their home this way</w:t>
      </w:r>
      <w:r w:rsidRPr="006E16E8">
        <w:rPr>
          <w:sz w:val="28"/>
          <w:szCs w:val="28"/>
        </w:rPr>
        <w:t xml:space="preserve">. For that reason, the </w:t>
      </w:r>
      <w:r w:rsidR="00FE1B14" w:rsidRPr="006E16E8">
        <w:rPr>
          <w:sz w:val="28"/>
          <w:szCs w:val="28"/>
        </w:rPr>
        <w:t>district judge rejected the analogy</w:t>
      </w:r>
      <w:r w:rsidR="003F1095" w:rsidRPr="006E16E8">
        <w:rPr>
          <w:sz w:val="28"/>
          <w:szCs w:val="28"/>
        </w:rPr>
        <w:t>.</w:t>
      </w:r>
    </w:p>
    <w:p w14:paraId="32D3D5CF" w14:textId="738C7C5C" w:rsidR="00FE1B14" w:rsidRPr="006E16E8" w:rsidRDefault="008838FD" w:rsidP="006E16E8">
      <w:pPr>
        <w:spacing w:line="360" w:lineRule="auto"/>
        <w:ind w:firstLine="720"/>
        <w:rPr>
          <w:sz w:val="28"/>
          <w:szCs w:val="28"/>
        </w:rPr>
      </w:pPr>
      <w:r w:rsidRPr="006E16E8">
        <w:rPr>
          <w:sz w:val="28"/>
          <w:szCs w:val="28"/>
        </w:rPr>
        <w:t xml:space="preserve">B. </w:t>
      </w:r>
      <w:r w:rsidR="00FE1B14" w:rsidRPr="006E16E8">
        <w:rPr>
          <w:sz w:val="28"/>
          <w:szCs w:val="28"/>
        </w:rPr>
        <w:t>Here’s where the second categor</w:t>
      </w:r>
      <w:r w:rsidR="003C04E5" w:rsidRPr="006E16E8">
        <w:rPr>
          <w:sz w:val="28"/>
          <w:szCs w:val="28"/>
        </w:rPr>
        <w:t xml:space="preserve">y of permissible exemptions enters. </w:t>
      </w:r>
      <w:r w:rsidR="00692B5B" w:rsidRPr="006E16E8">
        <w:rPr>
          <w:sz w:val="28"/>
          <w:szCs w:val="28"/>
        </w:rPr>
        <w:t xml:space="preserve">The government </w:t>
      </w:r>
      <w:r w:rsidR="002E1F5D" w:rsidRPr="006E16E8">
        <w:rPr>
          <w:sz w:val="28"/>
          <w:szCs w:val="28"/>
        </w:rPr>
        <w:t>can enact provisions specially exempting or “accommodating” religion</w:t>
      </w:r>
      <w:r w:rsidR="00902256" w:rsidRPr="006E16E8">
        <w:rPr>
          <w:sz w:val="28"/>
          <w:szCs w:val="28"/>
        </w:rPr>
        <w:t xml:space="preserve"> in order to remove the burdens of regulation. The power to accommodate has limits, but the Court has emphasized </w:t>
      </w:r>
      <w:r w:rsidR="00E667F3" w:rsidRPr="006E16E8">
        <w:rPr>
          <w:sz w:val="28"/>
          <w:szCs w:val="28"/>
        </w:rPr>
        <w:t xml:space="preserve">that there is “ample room” to accommodate. </w:t>
      </w:r>
      <w:r w:rsidR="00DE7A2E" w:rsidRPr="006E16E8">
        <w:rPr>
          <w:sz w:val="28"/>
          <w:szCs w:val="28"/>
        </w:rPr>
        <w:t>Under the</w:t>
      </w:r>
      <w:r w:rsidR="00EB2ECD" w:rsidRPr="006E16E8">
        <w:rPr>
          <w:sz w:val="28"/>
          <w:szCs w:val="28"/>
        </w:rPr>
        <w:t xml:space="preserve"> famous or infamous</w:t>
      </w:r>
      <w:r w:rsidR="00DE7A2E" w:rsidRPr="006E16E8">
        <w:rPr>
          <w:sz w:val="28"/>
          <w:szCs w:val="28"/>
        </w:rPr>
        <w:t xml:space="preserve"> </w:t>
      </w:r>
      <w:r w:rsidR="00DE7A2E" w:rsidRPr="006E16E8">
        <w:rPr>
          <w:i/>
          <w:sz w:val="28"/>
          <w:szCs w:val="28"/>
        </w:rPr>
        <w:t>Lemon</w:t>
      </w:r>
      <w:r w:rsidR="00DE7A2E" w:rsidRPr="006E16E8">
        <w:rPr>
          <w:sz w:val="28"/>
          <w:szCs w:val="28"/>
        </w:rPr>
        <w:t xml:space="preserve"> test, the</w:t>
      </w:r>
      <w:r w:rsidR="00EB2ECD" w:rsidRPr="006E16E8">
        <w:rPr>
          <w:sz w:val="28"/>
          <w:szCs w:val="28"/>
        </w:rPr>
        <w:t xml:space="preserve"> special treatment </w:t>
      </w:r>
      <w:r w:rsidR="00DE7A2E" w:rsidRPr="006E16E8">
        <w:rPr>
          <w:sz w:val="28"/>
          <w:szCs w:val="28"/>
        </w:rPr>
        <w:t xml:space="preserve">must </w:t>
      </w:r>
      <w:r w:rsidR="00EB2ECD" w:rsidRPr="006E16E8">
        <w:rPr>
          <w:sz w:val="28"/>
          <w:szCs w:val="28"/>
        </w:rPr>
        <w:t xml:space="preserve">have </w:t>
      </w:r>
      <w:r w:rsidR="00DE7A2E" w:rsidRPr="006E16E8">
        <w:rPr>
          <w:sz w:val="28"/>
          <w:szCs w:val="28"/>
        </w:rPr>
        <w:t xml:space="preserve">a </w:t>
      </w:r>
      <w:r w:rsidR="00EB2ECD" w:rsidRPr="006E16E8">
        <w:rPr>
          <w:sz w:val="28"/>
          <w:szCs w:val="28"/>
        </w:rPr>
        <w:t>secular purpose and secular effect.</w:t>
      </w:r>
      <w:r w:rsidR="002E1F5D" w:rsidRPr="006E16E8">
        <w:rPr>
          <w:sz w:val="28"/>
          <w:szCs w:val="28"/>
        </w:rPr>
        <w:t xml:space="preserve"> </w:t>
      </w:r>
    </w:p>
    <w:p w14:paraId="798EC89B" w14:textId="4FCF39F2" w:rsidR="002E1F5D" w:rsidRPr="006E16E8" w:rsidRDefault="00EB2ECD" w:rsidP="006E16E8">
      <w:pPr>
        <w:spacing w:line="360" w:lineRule="auto"/>
        <w:ind w:firstLine="720"/>
        <w:rPr>
          <w:sz w:val="28"/>
          <w:szCs w:val="28"/>
        </w:rPr>
      </w:pPr>
      <w:r w:rsidRPr="006E16E8">
        <w:rPr>
          <w:sz w:val="28"/>
          <w:szCs w:val="28"/>
        </w:rPr>
        <w:t xml:space="preserve">Extending the exclusion to all ministers </w:t>
      </w:r>
      <w:r w:rsidR="004D7748" w:rsidRPr="006E16E8">
        <w:rPr>
          <w:sz w:val="28"/>
          <w:szCs w:val="28"/>
        </w:rPr>
        <w:t>serves two important church-state values that constitute secular purposes and effects. First, extending it beyond church-owned parsonages promotes</w:t>
      </w:r>
      <w:r w:rsidR="002E1F5D" w:rsidRPr="006E16E8">
        <w:rPr>
          <w:sz w:val="28"/>
          <w:szCs w:val="28"/>
        </w:rPr>
        <w:t xml:space="preserve"> equal treatment between different religious bodies—especially between more established groups that more often own attached parsonages, and newer groups that more often locate in non-residential areas or lack the means to buy </w:t>
      </w:r>
      <w:r w:rsidR="004D7748" w:rsidRPr="006E16E8">
        <w:rPr>
          <w:sz w:val="28"/>
          <w:szCs w:val="28"/>
        </w:rPr>
        <w:t xml:space="preserve">nearby </w:t>
      </w:r>
      <w:r w:rsidR="002E1F5D" w:rsidRPr="006E16E8">
        <w:rPr>
          <w:sz w:val="28"/>
          <w:szCs w:val="28"/>
        </w:rPr>
        <w:t xml:space="preserve">homes. </w:t>
      </w:r>
      <w:r w:rsidR="00BD7DAC">
        <w:rPr>
          <w:sz w:val="28"/>
          <w:szCs w:val="28"/>
        </w:rPr>
        <w:t>E</w:t>
      </w:r>
      <w:r w:rsidR="004D7748" w:rsidRPr="006E16E8">
        <w:rPr>
          <w:sz w:val="28"/>
          <w:szCs w:val="28"/>
        </w:rPr>
        <w:t xml:space="preserve">quality among denominations, the Court has said, </w:t>
      </w:r>
      <w:r w:rsidR="00C74C25" w:rsidRPr="006E16E8">
        <w:rPr>
          <w:sz w:val="28"/>
          <w:szCs w:val="28"/>
        </w:rPr>
        <w:t xml:space="preserve">is </w:t>
      </w:r>
      <w:r w:rsidR="002E1F5D" w:rsidRPr="006E16E8">
        <w:rPr>
          <w:sz w:val="28"/>
          <w:szCs w:val="28"/>
        </w:rPr>
        <w:t>“the clearest command of the Establishment Clause</w:t>
      </w:r>
      <w:r w:rsidR="004D7748" w:rsidRPr="006E16E8">
        <w:rPr>
          <w:sz w:val="28"/>
          <w:szCs w:val="28"/>
        </w:rPr>
        <w:t>.</w:t>
      </w:r>
      <w:r w:rsidR="002E1F5D" w:rsidRPr="006E16E8">
        <w:rPr>
          <w:sz w:val="28"/>
          <w:szCs w:val="28"/>
        </w:rPr>
        <w:t xml:space="preserve">” </w:t>
      </w:r>
    </w:p>
    <w:p w14:paraId="6B3566EC" w14:textId="1E9BF5DE" w:rsidR="002E1F5D" w:rsidRPr="006E16E8" w:rsidRDefault="002E1F5D" w:rsidP="006E16E8">
      <w:pPr>
        <w:spacing w:line="360" w:lineRule="auto"/>
        <w:ind w:firstLine="720"/>
        <w:rPr>
          <w:sz w:val="28"/>
          <w:szCs w:val="28"/>
        </w:rPr>
      </w:pPr>
      <w:r w:rsidRPr="006E16E8">
        <w:rPr>
          <w:sz w:val="28"/>
          <w:szCs w:val="28"/>
        </w:rPr>
        <w:t xml:space="preserve">Second, extending the exclusion </w:t>
      </w:r>
      <w:r w:rsidR="004D7748" w:rsidRPr="006E16E8">
        <w:rPr>
          <w:sz w:val="28"/>
          <w:szCs w:val="28"/>
        </w:rPr>
        <w:t xml:space="preserve">categorically </w:t>
      </w:r>
      <w:r w:rsidRPr="006E16E8">
        <w:rPr>
          <w:sz w:val="28"/>
          <w:szCs w:val="28"/>
        </w:rPr>
        <w:t>to all ministers avoid</w:t>
      </w:r>
      <w:r w:rsidR="004D7748" w:rsidRPr="006E16E8">
        <w:rPr>
          <w:sz w:val="28"/>
          <w:szCs w:val="28"/>
        </w:rPr>
        <w:t>s</w:t>
      </w:r>
      <w:r w:rsidRPr="006E16E8">
        <w:rPr>
          <w:sz w:val="28"/>
          <w:szCs w:val="28"/>
        </w:rPr>
        <w:t xml:space="preserve"> church-state entanglement </w:t>
      </w:r>
      <w:r w:rsidR="004D7748" w:rsidRPr="006E16E8">
        <w:rPr>
          <w:sz w:val="28"/>
          <w:szCs w:val="28"/>
        </w:rPr>
        <w:t xml:space="preserve">by avoiding </w:t>
      </w:r>
      <w:r w:rsidRPr="006E16E8">
        <w:rPr>
          <w:sz w:val="28"/>
          <w:szCs w:val="28"/>
        </w:rPr>
        <w:t xml:space="preserve">inquiries into how and to what extent the minister used the home for church activities. </w:t>
      </w:r>
      <w:r w:rsidR="001312C5" w:rsidRPr="006E16E8">
        <w:rPr>
          <w:sz w:val="28"/>
          <w:szCs w:val="28"/>
        </w:rPr>
        <w:t>There are other examples where religious exemptions have been broadened because in their narrow form they would create require intrusive, entangling inquiries</w:t>
      </w:r>
      <w:r w:rsidR="00AF4ADF">
        <w:rPr>
          <w:sz w:val="28"/>
          <w:szCs w:val="28"/>
        </w:rPr>
        <w:t xml:space="preserve"> into religious questions</w:t>
      </w:r>
      <w:r w:rsidR="001312C5" w:rsidRPr="006E16E8">
        <w:rPr>
          <w:sz w:val="28"/>
          <w:szCs w:val="28"/>
        </w:rPr>
        <w:t xml:space="preserve">. For </w:t>
      </w:r>
      <w:r w:rsidR="001312C5" w:rsidRPr="006E16E8">
        <w:rPr>
          <w:sz w:val="28"/>
          <w:szCs w:val="28"/>
        </w:rPr>
        <w:lastRenderedPageBreak/>
        <w:t>example,</w:t>
      </w:r>
      <w:r w:rsidR="002774D9" w:rsidRPr="006E16E8">
        <w:rPr>
          <w:sz w:val="28"/>
          <w:szCs w:val="28"/>
        </w:rPr>
        <w:t xml:space="preserve"> the Court unanimously upheld the exemption allowing religious organizations to favor their own members in hiring for </w:t>
      </w:r>
      <w:r w:rsidR="002774D9" w:rsidRPr="006E16E8">
        <w:rPr>
          <w:sz w:val="28"/>
          <w:szCs w:val="28"/>
          <w:u w:val="single"/>
        </w:rPr>
        <w:t>all</w:t>
      </w:r>
      <w:r w:rsidR="00556992" w:rsidRPr="006E16E8">
        <w:rPr>
          <w:sz w:val="28"/>
          <w:szCs w:val="28"/>
        </w:rPr>
        <w:t xml:space="preserve"> their positions, not only</w:t>
      </w:r>
      <w:r w:rsidR="002774D9" w:rsidRPr="006E16E8">
        <w:rPr>
          <w:sz w:val="28"/>
          <w:szCs w:val="28"/>
        </w:rPr>
        <w:t xml:space="preserve"> those with religious responsibilities</w:t>
      </w:r>
      <w:r w:rsidR="00AF4ADF">
        <w:rPr>
          <w:sz w:val="28"/>
          <w:szCs w:val="28"/>
        </w:rPr>
        <w:t xml:space="preserve">. The Court said that distinguishing religious from secular activities could lead to the government mischaracterizing or second-guessing the nature of an organization’s work. </w:t>
      </w:r>
    </w:p>
    <w:p w14:paraId="40668710" w14:textId="25B23FE9" w:rsidR="00EB2ECD" w:rsidRPr="006E16E8" w:rsidRDefault="001312C5" w:rsidP="006E16E8">
      <w:pPr>
        <w:spacing w:line="360" w:lineRule="auto"/>
        <w:ind w:firstLine="720"/>
        <w:rPr>
          <w:sz w:val="28"/>
          <w:szCs w:val="28"/>
        </w:rPr>
      </w:pPr>
      <w:r w:rsidRPr="006E16E8">
        <w:rPr>
          <w:sz w:val="28"/>
          <w:szCs w:val="28"/>
        </w:rPr>
        <w:t>Another examp</w:t>
      </w:r>
      <w:r w:rsidR="008838FD" w:rsidRPr="006E16E8">
        <w:rPr>
          <w:sz w:val="28"/>
          <w:szCs w:val="28"/>
        </w:rPr>
        <w:t xml:space="preserve">le is the ministerial exception in antidiscrimination law, </w:t>
      </w:r>
      <w:r w:rsidR="002774D9" w:rsidRPr="006E16E8">
        <w:rPr>
          <w:sz w:val="28"/>
          <w:szCs w:val="28"/>
        </w:rPr>
        <w:t xml:space="preserve">unanimously affirmed in the </w:t>
      </w:r>
      <w:r w:rsidR="002774D9" w:rsidRPr="006E16E8">
        <w:rPr>
          <w:i/>
          <w:sz w:val="28"/>
          <w:szCs w:val="28"/>
        </w:rPr>
        <w:t>Hosanna-Tabor</w:t>
      </w:r>
      <w:r w:rsidR="002774D9" w:rsidRPr="006E16E8">
        <w:rPr>
          <w:sz w:val="28"/>
          <w:szCs w:val="28"/>
        </w:rPr>
        <w:t xml:space="preserve"> case</w:t>
      </w:r>
      <w:r w:rsidR="00AF4ADF">
        <w:rPr>
          <w:sz w:val="28"/>
          <w:szCs w:val="28"/>
        </w:rPr>
        <w:t xml:space="preserve">. This </w:t>
      </w:r>
      <w:r w:rsidR="008838FD" w:rsidRPr="006E16E8">
        <w:rPr>
          <w:sz w:val="28"/>
          <w:szCs w:val="28"/>
        </w:rPr>
        <w:t xml:space="preserve">broadly bars </w:t>
      </w:r>
      <w:r w:rsidR="002774D9" w:rsidRPr="006E16E8">
        <w:rPr>
          <w:sz w:val="28"/>
          <w:szCs w:val="28"/>
          <w:u w:val="single"/>
        </w:rPr>
        <w:t>all</w:t>
      </w:r>
      <w:r w:rsidR="002774D9" w:rsidRPr="006E16E8">
        <w:rPr>
          <w:sz w:val="28"/>
          <w:szCs w:val="28"/>
        </w:rPr>
        <w:t xml:space="preserve"> such </w:t>
      </w:r>
      <w:r w:rsidR="008838FD" w:rsidRPr="006E16E8">
        <w:rPr>
          <w:sz w:val="28"/>
          <w:szCs w:val="28"/>
        </w:rPr>
        <w:t>suits by ministers against their employers</w:t>
      </w:r>
      <w:r w:rsidR="002774D9" w:rsidRPr="006E16E8">
        <w:rPr>
          <w:sz w:val="28"/>
          <w:szCs w:val="28"/>
        </w:rPr>
        <w:t xml:space="preserve">—not merely suits </w:t>
      </w:r>
      <w:r w:rsidR="008838FD" w:rsidRPr="006E16E8">
        <w:rPr>
          <w:sz w:val="28"/>
          <w:szCs w:val="28"/>
        </w:rPr>
        <w:t>that involve a doctrinal tenet like the Catholic rule of ma</w:t>
      </w:r>
      <w:r w:rsidR="00C47A4F" w:rsidRPr="006E16E8">
        <w:rPr>
          <w:sz w:val="28"/>
          <w:szCs w:val="28"/>
        </w:rPr>
        <w:t xml:space="preserve">le-only </w:t>
      </w:r>
      <w:r w:rsidR="008838FD" w:rsidRPr="006E16E8">
        <w:rPr>
          <w:sz w:val="28"/>
          <w:szCs w:val="28"/>
        </w:rPr>
        <w:t xml:space="preserve">priests. The rationale is </w:t>
      </w:r>
      <w:r w:rsidR="00556992" w:rsidRPr="006E16E8">
        <w:rPr>
          <w:sz w:val="28"/>
          <w:szCs w:val="28"/>
        </w:rPr>
        <w:t>that</w:t>
      </w:r>
      <w:r w:rsidR="00C47A4F" w:rsidRPr="006E16E8">
        <w:rPr>
          <w:sz w:val="28"/>
          <w:szCs w:val="28"/>
        </w:rPr>
        <w:t xml:space="preserve"> </w:t>
      </w:r>
      <w:r w:rsidR="00C47A4F" w:rsidRPr="006E16E8">
        <w:rPr>
          <w:sz w:val="28"/>
          <w:szCs w:val="28"/>
          <w:u w:val="single"/>
        </w:rPr>
        <w:t>any</w:t>
      </w:r>
      <w:r w:rsidR="00C47A4F" w:rsidRPr="006E16E8">
        <w:rPr>
          <w:sz w:val="28"/>
          <w:szCs w:val="28"/>
        </w:rPr>
        <w:t xml:space="preserve"> </w:t>
      </w:r>
      <w:r w:rsidR="00556992" w:rsidRPr="006E16E8">
        <w:rPr>
          <w:sz w:val="28"/>
          <w:szCs w:val="28"/>
        </w:rPr>
        <w:t xml:space="preserve">such </w:t>
      </w:r>
      <w:r w:rsidR="00C47A4F" w:rsidRPr="006E16E8">
        <w:rPr>
          <w:sz w:val="28"/>
          <w:szCs w:val="28"/>
        </w:rPr>
        <w:t xml:space="preserve">suit might require the court to determine whether the church’s reason for acting was discriminatory or legitimate—was the plaintiff a bad minister?—which would </w:t>
      </w:r>
      <w:r w:rsidR="00F66B89" w:rsidRPr="006E16E8">
        <w:rPr>
          <w:sz w:val="28"/>
          <w:szCs w:val="28"/>
        </w:rPr>
        <w:t xml:space="preserve">be </w:t>
      </w:r>
      <w:r w:rsidR="00C47A4F" w:rsidRPr="006E16E8">
        <w:rPr>
          <w:sz w:val="28"/>
          <w:szCs w:val="28"/>
        </w:rPr>
        <w:t>highly entangling.</w:t>
      </w:r>
    </w:p>
    <w:p w14:paraId="780E0DAA" w14:textId="77777777" w:rsidR="00AF4ADF" w:rsidRDefault="00556992" w:rsidP="006E16E8">
      <w:pPr>
        <w:spacing w:line="360" w:lineRule="auto"/>
        <w:ind w:firstLine="720"/>
        <w:rPr>
          <w:sz w:val="28"/>
          <w:szCs w:val="28"/>
        </w:rPr>
      </w:pPr>
      <w:r w:rsidRPr="006E16E8">
        <w:rPr>
          <w:sz w:val="28"/>
          <w:szCs w:val="28"/>
        </w:rPr>
        <w:t>The distric</w:t>
      </w:r>
      <w:r w:rsidR="009C4079" w:rsidRPr="006E16E8">
        <w:rPr>
          <w:sz w:val="28"/>
          <w:szCs w:val="28"/>
        </w:rPr>
        <w:t xml:space="preserve">t court rejected these justifications for the broad exclusion. It said that </w:t>
      </w:r>
      <w:r w:rsidR="00A936FB" w:rsidRPr="006E16E8">
        <w:rPr>
          <w:sz w:val="28"/>
          <w:szCs w:val="28"/>
        </w:rPr>
        <w:t>the inequality between parsonage-owning churches and others was just the product of a facially neutral law, that many laws affect different churches differently, and that such effects can’t justify handing out blanket exemptions to churches.</w:t>
      </w:r>
      <w:r w:rsidR="00BD7DAC">
        <w:rPr>
          <w:sz w:val="28"/>
          <w:szCs w:val="28"/>
        </w:rPr>
        <w:t xml:space="preserve"> Some churches might charge fees for services they provide; the government doesn’t have to allow deductions for those </w:t>
      </w:r>
      <w:r w:rsidR="00AF4ADF">
        <w:rPr>
          <w:sz w:val="28"/>
          <w:szCs w:val="28"/>
        </w:rPr>
        <w:t xml:space="preserve">just because it allows deductions for </w:t>
      </w:r>
      <w:r w:rsidR="00BD7DAC">
        <w:rPr>
          <w:sz w:val="28"/>
          <w:szCs w:val="28"/>
        </w:rPr>
        <w:t>charitable contributions</w:t>
      </w:r>
      <w:r w:rsidR="00AF4ADF">
        <w:rPr>
          <w:sz w:val="28"/>
          <w:szCs w:val="28"/>
        </w:rPr>
        <w:t>.</w:t>
      </w:r>
    </w:p>
    <w:p w14:paraId="7074C891" w14:textId="20756B71" w:rsidR="002774D9" w:rsidRDefault="00AF4ADF" w:rsidP="006E16E8">
      <w:pPr>
        <w:spacing w:line="360" w:lineRule="auto"/>
        <w:ind w:firstLine="720"/>
        <w:rPr>
          <w:sz w:val="28"/>
          <w:szCs w:val="28"/>
        </w:rPr>
      </w:pPr>
      <w:r>
        <w:rPr>
          <w:sz w:val="28"/>
          <w:szCs w:val="28"/>
        </w:rPr>
        <w:t xml:space="preserve">The district court </w:t>
      </w:r>
      <w:r w:rsidR="00A936FB" w:rsidRPr="006E16E8">
        <w:rPr>
          <w:sz w:val="28"/>
          <w:szCs w:val="28"/>
        </w:rPr>
        <w:t xml:space="preserve">also doubted that the inquiries into uses of a home would be </w:t>
      </w:r>
      <w:r>
        <w:rPr>
          <w:sz w:val="28"/>
          <w:szCs w:val="28"/>
        </w:rPr>
        <w:t xml:space="preserve">highly </w:t>
      </w:r>
      <w:r w:rsidR="00C5741A" w:rsidRPr="006E16E8">
        <w:rPr>
          <w:sz w:val="28"/>
          <w:szCs w:val="28"/>
        </w:rPr>
        <w:t xml:space="preserve">intrusive or </w:t>
      </w:r>
      <w:r w:rsidR="00A936FB" w:rsidRPr="006E16E8">
        <w:rPr>
          <w:sz w:val="28"/>
          <w:szCs w:val="28"/>
        </w:rPr>
        <w:t>entangling</w:t>
      </w:r>
      <w:r w:rsidR="00C5741A" w:rsidRPr="006E16E8">
        <w:rPr>
          <w:sz w:val="28"/>
          <w:szCs w:val="28"/>
        </w:rPr>
        <w:t>. It said that the broad exclusion improperly gave employers and employees incentives to characterize the employees as ministers. The proper course, the court said, was to expand the exemption to cover leaders in secular organizations comparable to ministers in churches.</w:t>
      </w:r>
    </w:p>
    <w:p w14:paraId="02B3D56E" w14:textId="2E6DE428" w:rsidR="00AF4ADF" w:rsidRPr="006E16E8" w:rsidRDefault="00AF4ADF" w:rsidP="006E16E8">
      <w:pPr>
        <w:spacing w:line="360" w:lineRule="auto"/>
        <w:ind w:firstLine="720"/>
        <w:rPr>
          <w:sz w:val="28"/>
          <w:szCs w:val="28"/>
        </w:rPr>
      </w:pPr>
      <w:r>
        <w:rPr>
          <w:sz w:val="28"/>
          <w:szCs w:val="28"/>
        </w:rPr>
        <w:lastRenderedPageBreak/>
        <w:t xml:space="preserve">It’s certainly true </w:t>
      </w:r>
      <w:r w:rsidR="00AD03F5">
        <w:rPr>
          <w:sz w:val="28"/>
          <w:szCs w:val="28"/>
        </w:rPr>
        <w:t xml:space="preserve">that the broader housing exclusion is not </w:t>
      </w:r>
      <w:r w:rsidR="00AD03F5" w:rsidRPr="00AD03F5">
        <w:rPr>
          <w:sz w:val="28"/>
          <w:szCs w:val="28"/>
          <w:u w:val="single"/>
        </w:rPr>
        <w:t>compelled</w:t>
      </w:r>
      <w:r w:rsidR="00AD03F5">
        <w:rPr>
          <w:sz w:val="28"/>
          <w:szCs w:val="28"/>
        </w:rPr>
        <w:t xml:space="preserve"> by the Constitution; the limitation to church-owned housing would be upheld as facially neutral. But the question is whether the government has </w:t>
      </w:r>
      <w:r w:rsidR="00AD03F5" w:rsidRPr="00AD03F5">
        <w:rPr>
          <w:sz w:val="28"/>
          <w:szCs w:val="28"/>
          <w:u w:val="single"/>
        </w:rPr>
        <w:t>discretion</w:t>
      </w:r>
      <w:r w:rsidR="00AD03F5">
        <w:rPr>
          <w:sz w:val="28"/>
          <w:szCs w:val="28"/>
        </w:rPr>
        <w:t xml:space="preserve"> to broaden the exclusion based on </w:t>
      </w:r>
      <w:r w:rsidR="00AD03F5" w:rsidRPr="00AD03F5">
        <w:rPr>
          <w:sz w:val="28"/>
          <w:szCs w:val="28"/>
          <w:u w:val="single"/>
        </w:rPr>
        <w:t>reasonable</w:t>
      </w:r>
      <w:r w:rsidR="00AD03F5">
        <w:rPr>
          <w:sz w:val="28"/>
          <w:szCs w:val="28"/>
        </w:rPr>
        <w:t>—even if debatable—considerations of denominational equality and nonentanglement.</w:t>
      </w:r>
    </w:p>
    <w:p w14:paraId="68D329CC" w14:textId="504E7DB3" w:rsidR="00287D86" w:rsidRPr="006E16E8" w:rsidRDefault="00287D86" w:rsidP="006E16E8">
      <w:pPr>
        <w:spacing w:line="360" w:lineRule="auto"/>
        <w:ind w:firstLine="720"/>
        <w:rPr>
          <w:sz w:val="28"/>
          <w:szCs w:val="28"/>
        </w:rPr>
      </w:pPr>
      <w:r w:rsidRPr="006E16E8">
        <w:rPr>
          <w:sz w:val="28"/>
          <w:szCs w:val="28"/>
        </w:rPr>
        <w:t xml:space="preserve">A final argument for upholding the exclusion is that invalidating it will undercut strong reliance interests of ministers, particularly older ministers. Many </w:t>
      </w:r>
      <w:r w:rsidR="00663262" w:rsidRPr="006E16E8">
        <w:rPr>
          <w:sz w:val="28"/>
          <w:szCs w:val="28"/>
        </w:rPr>
        <w:t xml:space="preserve">have structured their retirement planning around this 60-year-old section of the tax code. Those approaching retirement may not be able to contribute enough to cover the shortfall in their remaining years of active ministry. In the </w:t>
      </w:r>
      <w:r w:rsidR="00663262" w:rsidRPr="006E16E8">
        <w:rPr>
          <w:i/>
          <w:sz w:val="28"/>
          <w:szCs w:val="28"/>
        </w:rPr>
        <w:t>Walz</w:t>
      </w:r>
      <w:r w:rsidR="00663262" w:rsidRPr="006E16E8">
        <w:rPr>
          <w:sz w:val="28"/>
          <w:szCs w:val="28"/>
        </w:rPr>
        <w:t xml:space="preserve"> case the Supreme Court said that the “unbroken practice of according the property-tax exemption to churches … is not something to be lightly cast aside.” </w:t>
      </w:r>
      <w:r w:rsidR="00E02B19" w:rsidRPr="006E16E8">
        <w:rPr>
          <w:sz w:val="28"/>
          <w:szCs w:val="28"/>
        </w:rPr>
        <w:t xml:space="preserve">On the other hand, the Court has also said that no one gets a vested interest in </w:t>
      </w:r>
      <w:r w:rsidR="00BB6695" w:rsidRPr="006E16E8">
        <w:rPr>
          <w:sz w:val="28"/>
          <w:szCs w:val="28"/>
        </w:rPr>
        <w:t xml:space="preserve">a </w:t>
      </w:r>
      <w:r w:rsidR="00E02B19" w:rsidRPr="006E16E8">
        <w:rPr>
          <w:sz w:val="28"/>
          <w:szCs w:val="28"/>
        </w:rPr>
        <w:t>violati</w:t>
      </w:r>
      <w:r w:rsidR="00BB6695" w:rsidRPr="006E16E8">
        <w:rPr>
          <w:sz w:val="28"/>
          <w:szCs w:val="28"/>
        </w:rPr>
        <w:t xml:space="preserve">on of </w:t>
      </w:r>
      <w:r w:rsidR="00E02B19" w:rsidRPr="006E16E8">
        <w:rPr>
          <w:sz w:val="28"/>
          <w:szCs w:val="28"/>
        </w:rPr>
        <w:t xml:space="preserve">the Constitution. </w:t>
      </w:r>
      <w:r w:rsidR="00C74C25" w:rsidRPr="006E16E8">
        <w:rPr>
          <w:sz w:val="28"/>
          <w:szCs w:val="28"/>
        </w:rPr>
        <w:t xml:space="preserve">Ministers’ </w:t>
      </w:r>
      <w:r w:rsidR="00E02B19" w:rsidRPr="006E16E8">
        <w:rPr>
          <w:sz w:val="28"/>
          <w:szCs w:val="28"/>
        </w:rPr>
        <w:t xml:space="preserve">reliance </w:t>
      </w:r>
      <w:r w:rsidR="00C74C25" w:rsidRPr="006E16E8">
        <w:rPr>
          <w:sz w:val="28"/>
          <w:szCs w:val="28"/>
        </w:rPr>
        <w:t>interests of ministers may make the judges want to uphold the statute, but they still have to assert a constitutional rationale for doing so.</w:t>
      </w:r>
    </w:p>
    <w:p w14:paraId="1BCB1B6A" w14:textId="4C70E735" w:rsidR="00287D86" w:rsidRPr="006E16E8" w:rsidRDefault="00BB6695" w:rsidP="004B7B02">
      <w:pPr>
        <w:spacing w:line="360" w:lineRule="auto"/>
        <w:ind w:firstLine="720"/>
        <w:rPr>
          <w:sz w:val="28"/>
          <w:szCs w:val="28"/>
        </w:rPr>
      </w:pPr>
      <w:r w:rsidRPr="006E16E8">
        <w:rPr>
          <w:sz w:val="28"/>
          <w:szCs w:val="28"/>
        </w:rPr>
        <w:t xml:space="preserve">Ultimately, the result in this matter depends on the court’s attitude toward </w:t>
      </w:r>
      <w:r w:rsidR="006E16E8" w:rsidRPr="006E16E8">
        <w:rPr>
          <w:sz w:val="28"/>
          <w:szCs w:val="28"/>
        </w:rPr>
        <w:t xml:space="preserve">provisions that specifically </w:t>
      </w:r>
      <w:r w:rsidRPr="006E16E8">
        <w:rPr>
          <w:sz w:val="28"/>
          <w:szCs w:val="28"/>
        </w:rPr>
        <w:t xml:space="preserve">accommodate religion. The exclusion will be upheld if the court takes a deferential approach and allows the government leeway as long as it’s </w:t>
      </w:r>
      <w:r w:rsidRPr="00C4530E">
        <w:rPr>
          <w:sz w:val="28"/>
          <w:szCs w:val="28"/>
          <w:u w:val="single"/>
        </w:rPr>
        <w:t>reasonably</w:t>
      </w:r>
      <w:r w:rsidRPr="006E16E8">
        <w:rPr>
          <w:sz w:val="28"/>
          <w:szCs w:val="28"/>
        </w:rPr>
        <w:t xml:space="preserve"> promoting valid church-state </w:t>
      </w:r>
      <w:r w:rsidR="00C4530E">
        <w:rPr>
          <w:sz w:val="28"/>
          <w:szCs w:val="28"/>
        </w:rPr>
        <w:t xml:space="preserve">concerns </w:t>
      </w:r>
      <w:r w:rsidRPr="006E16E8">
        <w:rPr>
          <w:sz w:val="28"/>
          <w:szCs w:val="28"/>
        </w:rPr>
        <w:t xml:space="preserve">like denominational equality and nonentanglement in religious questions, and is not </w:t>
      </w:r>
      <w:r w:rsidR="00C4530E">
        <w:rPr>
          <w:sz w:val="28"/>
          <w:szCs w:val="28"/>
        </w:rPr>
        <w:t xml:space="preserve">directly imposing a significant </w:t>
      </w:r>
      <w:r w:rsidRPr="006E16E8">
        <w:rPr>
          <w:sz w:val="28"/>
          <w:szCs w:val="28"/>
        </w:rPr>
        <w:t xml:space="preserve">burden on </w:t>
      </w:r>
      <w:r w:rsidR="00C4530E">
        <w:rPr>
          <w:sz w:val="28"/>
          <w:szCs w:val="28"/>
        </w:rPr>
        <w:t>anyone else</w:t>
      </w:r>
      <w:r w:rsidRPr="006E16E8">
        <w:rPr>
          <w:sz w:val="28"/>
          <w:szCs w:val="28"/>
        </w:rPr>
        <w:t>. I believe that is the correct approach</w:t>
      </w:r>
      <w:r w:rsidR="006E16E8" w:rsidRPr="006E16E8">
        <w:rPr>
          <w:sz w:val="28"/>
          <w:szCs w:val="28"/>
        </w:rPr>
        <w:t>—the most consistent with the text, tradition, and precedents—es</w:t>
      </w:r>
      <w:r w:rsidRPr="006E16E8">
        <w:rPr>
          <w:sz w:val="28"/>
          <w:szCs w:val="28"/>
        </w:rPr>
        <w:t>pecially with respect to treat</w:t>
      </w:r>
      <w:bookmarkStart w:id="0" w:name="_GoBack"/>
      <w:bookmarkEnd w:id="0"/>
      <w:r w:rsidRPr="006E16E8">
        <w:rPr>
          <w:sz w:val="28"/>
          <w:szCs w:val="28"/>
        </w:rPr>
        <w:t xml:space="preserve">ment of ministers. </w:t>
      </w:r>
      <w:r w:rsidR="006E16E8" w:rsidRPr="006E16E8">
        <w:rPr>
          <w:sz w:val="28"/>
          <w:szCs w:val="28"/>
        </w:rPr>
        <w:t xml:space="preserve">But there are certainly judges who view it as </w:t>
      </w:r>
      <w:r w:rsidR="006E16E8" w:rsidRPr="006E16E8">
        <w:rPr>
          <w:sz w:val="28"/>
          <w:szCs w:val="28"/>
        </w:rPr>
        <w:lastRenderedPageBreak/>
        <w:t>presumptively unfair to exempt religion when arguably comparable nonreligious activities are not exempt, and they are likely to view the justifications for doing so here as insufficient.</w:t>
      </w:r>
    </w:p>
    <w:sectPr w:rsidR="00287D86" w:rsidRPr="006E16E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83F8F" w14:textId="77777777" w:rsidR="007707FD" w:rsidRDefault="007707FD" w:rsidP="004B1DEB">
      <w:pPr>
        <w:spacing w:after="0" w:line="240" w:lineRule="auto"/>
      </w:pPr>
      <w:r>
        <w:separator/>
      </w:r>
    </w:p>
  </w:endnote>
  <w:endnote w:type="continuationSeparator" w:id="0">
    <w:p w14:paraId="15EA55F4" w14:textId="77777777" w:rsidR="007707FD" w:rsidRDefault="007707FD" w:rsidP="004B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061761"/>
      <w:docPartObj>
        <w:docPartGallery w:val="Page Numbers (Bottom of Page)"/>
        <w:docPartUnique/>
      </w:docPartObj>
    </w:sdtPr>
    <w:sdtEndPr>
      <w:rPr>
        <w:noProof/>
      </w:rPr>
    </w:sdtEndPr>
    <w:sdtContent>
      <w:p w14:paraId="08C6F803" w14:textId="7EF4FD50" w:rsidR="004B1DEB" w:rsidRDefault="004B1DEB">
        <w:pPr>
          <w:pStyle w:val="Footer"/>
          <w:jc w:val="center"/>
        </w:pPr>
        <w:r>
          <w:fldChar w:fldCharType="begin"/>
        </w:r>
        <w:r>
          <w:instrText xml:space="preserve"> PAGE   \* MERGEFORMAT </w:instrText>
        </w:r>
        <w:r>
          <w:fldChar w:fldCharType="separate"/>
        </w:r>
        <w:r w:rsidR="004B7B02">
          <w:rPr>
            <w:noProof/>
          </w:rPr>
          <w:t>6</w:t>
        </w:r>
        <w:r>
          <w:rPr>
            <w:noProof/>
          </w:rPr>
          <w:fldChar w:fldCharType="end"/>
        </w:r>
      </w:p>
    </w:sdtContent>
  </w:sdt>
  <w:p w14:paraId="3FBF8420" w14:textId="77777777" w:rsidR="004B1DEB" w:rsidRDefault="004B1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490C1" w14:textId="77777777" w:rsidR="007707FD" w:rsidRDefault="007707FD" w:rsidP="004B1DEB">
      <w:pPr>
        <w:spacing w:after="0" w:line="240" w:lineRule="auto"/>
      </w:pPr>
      <w:r>
        <w:separator/>
      </w:r>
    </w:p>
  </w:footnote>
  <w:footnote w:type="continuationSeparator" w:id="0">
    <w:p w14:paraId="3A0AB263" w14:textId="77777777" w:rsidR="007707FD" w:rsidRDefault="007707FD" w:rsidP="004B1D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03"/>
    <w:rsid w:val="00052B26"/>
    <w:rsid w:val="00076F5A"/>
    <w:rsid w:val="000A4985"/>
    <w:rsid w:val="00116E2B"/>
    <w:rsid w:val="001175B5"/>
    <w:rsid w:val="001312C5"/>
    <w:rsid w:val="00176156"/>
    <w:rsid w:val="00185522"/>
    <w:rsid w:val="0018744F"/>
    <w:rsid w:val="002238FE"/>
    <w:rsid w:val="002774D9"/>
    <w:rsid w:val="00281EFB"/>
    <w:rsid w:val="00287D86"/>
    <w:rsid w:val="002A0A13"/>
    <w:rsid w:val="002E1F5D"/>
    <w:rsid w:val="0035106F"/>
    <w:rsid w:val="003924F0"/>
    <w:rsid w:val="003A4727"/>
    <w:rsid w:val="003C04E5"/>
    <w:rsid w:val="003D4BFA"/>
    <w:rsid w:val="003F1095"/>
    <w:rsid w:val="00403D9C"/>
    <w:rsid w:val="00426D8F"/>
    <w:rsid w:val="00430677"/>
    <w:rsid w:val="00433190"/>
    <w:rsid w:val="00433CDB"/>
    <w:rsid w:val="0046788C"/>
    <w:rsid w:val="004773CB"/>
    <w:rsid w:val="00487132"/>
    <w:rsid w:val="004A6C17"/>
    <w:rsid w:val="004B1DEB"/>
    <w:rsid w:val="004B7B02"/>
    <w:rsid w:val="004D7748"/>
    <w:rsid w:val="00547281"/>
    <w:rsid w:val="00556992"/>
    <w:rsid w:val="005F2350"/>
    <w:rsid w:val="0065257A"/>
    <w:rsid w:val="00663262"/>
    <w:rsid w:val="0068005A"/>
    <w:rsid w:val="00692B5B"/>
    <w:rsid w:val="006B5AA0"/>
    <w:rsid w:val="006E16E8"/>
    <w:rsid w:val="00751613"/>
    <w:rsid w:val="0076509F"/>
    <w:rsid w:val="007707FD"/>
    <w:rsid w:val="007A3B00"/>
    <w:rsid w:val="007C1903"/>
    <w:rsid w:val="007E4746"/>
    <w:rsid w:val="007E74F0"/>
    <w:rsid w:val="008010AD"/>
    <w:rsid w:val="008838FD"/>
    <w:rsid w:val="00885718"/>
    <w:rsid w:val="00896DDE"/>
    <w:rsid w:val="008D4572"/>
    <w:rsid w:val="008E6DA0"/>
    <w:rsid w:val="00902256"/>
    <w:rsid w:val="009054E5"/>
    <w:rsid w:val="009327EF"/>
    <w:rsid w:val="009334D6"/>
    <w:rsid w:val="00934F73"/>
    <w:rsid w:val="009939E2"/>
    <w:rsid w:val="009B5824"/>
    <w:rsid w:val="009C4079"/>
    <w:rsid w:val="00A936FB"/>
    <w:rsid w:val="00AB42E8"/>
    <w:rsid w:val="00AB52D7"/>
    <w:rsid w:val="00AD03F5"/>
    <w:rsid w:val="00AF4ADF"/>
    <w:rsid w:val="00B459DC"/>
    <w:rsid w:val="00B54C70"/>
    <w:rsid w:val="00B75F47"/>
    <w:rsid w:val="00BB6695"/>
    <w:rsid w:val="00BD7DAC"/>
    <w:rsid w:val="00C4530E"/>
    <w:rsid w:val="00C47A4F"/>
    <w:rsid w:val="00C5741A"/>
    <w:rsid w:val="00C74C25"/>
    <w:rsid w:val="00CA5F05"/>
    <w:rsid w:val="00D324AE"/>
    <w:rsid w:val="00DE7A2E"/>
    <w:rsid w:val="00DF48DD"/>
    <w:rsid w:val="00E02B19"/>
    <w:rsid w:val="00E45978"/>
    <w:rsid w:val="00E629F6"/>
    <w:rsid w:val="00E667F3"/>
    <w:rsid w:val="00EB2ECD"/>
    <w:rsid w:val="00EB753E"/>
    <w:rsid w:val="00F079D5"/>
    <w:rsid w:val="00F22150"/>
    <w:rsid w:val="00F66B89"/>
    <w:rsid w:val="00FE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14BC"/>
  <w15:chartTrackingRefBased/>
  <w15:docId w15:val="{157D89C7-5086-443B-9683-A8AF2BF5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751613"/>
    <w:rPr>
      <w:vertAlign w:val="superscript"/>
    </w:rPr>
  </w:style>
  <w:style w:type="paragraph" w:styleId="ListParagraph">
    <w:name w:val="List Paragraph"/>
    <w:basedOn w:val="Normal"/>
    <w:uiPriority w:val="34"/>
    <w:qFormat/>
    <w:rsid w:val="00896DDE"/>
    <w:pPr>
      <w:ind w:left="720"/>
      <w:contextualSpacing/>
    </w:pPr>
  </w:style>
  <w:style w:type="paragraph" w:styleId="Header">
    <w:name w:val="header"/>
    <w:basedOn w:val="Normal"/>
    <w:link w:val="HeaderChar"/>
    <w:uiPriority w:val="99"/>
    <w:unhideWhenUsed/>
    <w:rsid w:val="004B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DEB"/>
  </w:style>
  <w:style w:type="paragraph" w:styleId="Footer">
    <w:name w:val="footer"/>
    <w:basedOn w:val="Normal"/>
    <w:link w:val="FooterChar"/>
    <w:uiPriority w:val="99"/>
    <w:unhideWhenUsed/>
    <w:rsid w:val="004B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St. Thomas</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Thomas C.</dc:creator>
  <cp:keywords/>
  <dc:description/>
  <cp:lastModifiedBy>Berg, Thomas C.</cp:lastModifiedBy>
  <cp:revision>2</cp:revision>
  <dcterms:created xsi:type="dcterms:W3CDTF">2018-01-15T20:56:00Z</dcterms:created>
  <dcterms:modified xsi:type="dcterms:W3CDTF">2018-01-15T20:56:00Z</dcterms:modified>
</cp:coreProperties>
</file>