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678" w:rsidRDefault="00FC0144" w:rsidP="00A11FEF">
      <w:pPr>
        <w:framePr w:h="1411" w:hRule="exact" w:hSpace="187" w:wrap="notBeside" w:vAnchor="page" w:hAnchor="page" w:x="433" w:y="577" w:anchorLock="1"/>
        <w:shd w:val="solid" w:color="FFFFFF" w:fill="FFFFFF"/>
      </w:pPr>
      <w:r>
        <w:rPr>
          <w:noProof/>
        </w:rPr>
        <w:drawing>
          <wp:inline distT="0" distB="0" distL="0" distR="0">
            <wp:extent cx="842645" cy="810895"/>
            <wp:effectExtent l="19050" t="0" r="0" b="0"/>
            <wp:docPr id="1" name="Picture 1" descr="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ack"/>
                    <pic:cNvPicPr>
                      <a:picLocks noChangeAspect="1" noChangeArrowheads="1"/>
                    </pic:cNvPicPr>
                  </pic:nvPicPr>
                  <pic:blipFill>
                    <a:blip r:embed="rId6" cstate="print"/>
                    <a:srcRect/>
                    <a:stretch>
                      <a:fillRect/>
                    </a:stretch>
                  </pic:blipFill>
                  <pic:spPr bwMode="auto">
                    <a:xfrm>
                      <a:off x="0" y="0"/>
                      <a:ext cx="842645" cy="810895"/>
                    </a:xfrm>
                    <a:prstGeom prst="rect">
                      <a:avLst/>
                    </a:prstGeom>
                    <a:noFill/>
                    <a:ln w="9525">
                      <a:noFill/>
                      <a:miter lim="800000"/>
                      <a:headEnd/>
                      <a:tailEnd/>
                    </a:ln>
                  </pic:spPr>
                </pic:pic>
              </a:graphicData>
            </a:graphic>
          </wp:inline>
        </w:drawing>
      </w:r>
      <w:r w:rsidR="00CA2678">
        <w:t xml:space="preserve"> </w:t>
      </w:r>
    </w:p>
    <w:p w:rsidR="007B63B8" w:rsidRDefault="007B63B8" w:rsidP="00A5437A">
      <w:pPr>
        <w:pStyle w:val="NoSpacing"/>
        <w:jc w:val="right"/>
        <w:rPr>
          <w:rFonts w:ascii="Times New Roman" w:hAnsi="Times New Roman" w:cs="Times New Roman"/>
          <w:sz w:val="24"/>
          <w:szCs w:val="24"/>
        </w:rPr>
      </w:pPr>
    </w:p>
    <w:p w:rsidR="008A5D62" w:rsidRDefault="008A5D62" w:rsidP="00A5437A">
      <w:pPr>
        <w:pStyle w:val="NoSpacing"/>
        <w:jc w:val="right"/>
        <w:rPr>
          <w:rFonts w:ascii="Times New Roman" w:hAnsi="Times New Roman" w:cs="Times New Roman"/>
          <w:sz w:val="24"/>
          <w:szCs w:val="24"/>
        </w:rPr>
      </w:pPr>
    </w:p>
    <w:p w:rsidR="000871F7" w:rsidRDefault="000A7FF5" w:rsidP="00A5437A">
      <w:pPr>
        <w:pStyle w:val="NoSpacing"/>
        <w:jc w:val="right"/>
        <w:rPr>
          <w:rFonts w:ascii="Times New Roman" w:hAnsi="Times New Roman" w:cs="Times New Roman"/>
          <w:sz w:val="24"/>
          <w:szCs w:val="24"/>
        </w:rPr>
      </w:pPr>
      <w:r>
        <w:rPr>
          <w:rFonts w:ascii="Times New Roman" w:hAnsi="Times New Roman" w:cs="Times New Roman"/>
          <w:sz w:val="24"/>
          <w:szCs w:val="24"/>
        </w:rPr>
        <w:t>December 2</w:t>
      </w:r>
      <w:r w:rsidR="002B6423">
        <w:rPr>
          <w:rFonts w:ascii="Times New Roman" w:hAnsi="Times New Roman" w:cs="Times New Roman"/>
          <w:sz w:val="24"/>
          <w:szCs w:val="24"/>
        </w:rPr>
        <w:t>4</w:t>
      </w:r>
      <w:r>
        <w:rPr>
          <w:rFonts w:ascii="Times New Roman" w:hAnsi="Times New Roman" w:cs="Times New Roman"/>
          <w:sz w:val="24"/>
          <w:szCs w:val="24"/>
        </w:rPr>
        <w:t xml:space="preserve">, </w:t>
      </w:r>
      <w:r w:rsidR="00B63B9E">
        <w:rPr>
          <w:rFonts w:ascii="Times New Roman" w:hAnsi="Times New Roman" w:cs="Times New Roman"/>
          <w:sz w:val="24"/>
          <w:szCs w:val="24"/>
        </w:rPr>
        <w:t>2012</w:t>
      </w:r>
    </w:p>
    <w:p w:rsidR="00C95BE7" w:rsidRDefault="00C95BE7" w:rsidP="00057E9E">
      <w:pPr>
        <w:suppressAutoHyphens/>
        <w:spacing w:line="240" w:lineRule="atLeast"/>
        <w:jc w:val="both"/>
        <w:rPr>
          <w:spacing w:val="-3"/>
        </w:rPr>
      </w:pPr>
    </w:p>
    <w:p w:rsidR="008A5D62" w:rsidRDefault="008A5D62" w:rsidP="00057E9E">
      <w:pPr>
        <w:suppressAutoHyphens/>
        <w:spacing w:line="240" w:lineRule="atLeast"/>
        <w:jc w:val="both"/>
        <w:rPr>
          <w:spacing w:val="-3"/>
        </w:rPr>
      </w:pPr>
    </w:p>
    <w:p w:rsidR="00211F38" w:rsidRDefault="00211F38" w:rsidP="00B63B9E">
      <w:pPr>
        <w:tabs>
          <w:tab w:val="left" w:pos="1440"/>
        </w:tabs>
        <w:ind w:left="2880" w:hanging="2160"/>
        <w:jc w:val="right"/>
        <w:rPr>
          <w:b/>
        </w:rPr>
      </w:pPr>
      <w:r>
        <w:rPr>
          <w:b/>
        </w:rPr>
        <w:t>R</w:t>
      </w:r>
      <w:r w:rsidRPr="004A5E74">
        <w:rPr>
          <w:b/>
        </w:rPr>
        <w:t>e:</w:t>
      </w:r>
      <w:r w:rsidRPr="004A5E74">
        <w:rPr>
          <w:b/>
        </w:rPr>
        <w:tab/>
        <w:t>R</w:t>
      </w:r>
      <w:r>
        <w:rPr>
          <w:b/>
        </w:rPr>
        <w:t>eligious liberty implications of same-sex marriage</w:t>
      </w:r>
    </w:p>
    <w:p w:rsidR="007B63B8" w:rsidRDefault="007B63B8" w:rsidP="00211F38">
      <w:pPr>
        <w:jc w:val="both"/>
      </w:pPr>
    </w:p>
    <w:p w:rsidR="002B6423" w:rsidRDefault="002B6423" w:rsidP="00211F38">
      <w:pPr>
        <w:jc w:val="both"/>
      </w:pPr>
      <w:r>
        <w:t>Members of the Illinois Senate</w:t>
      </w:r>
    </w:p>
    <w:p w:rsidR="002B6423" w:rsidRDefault="002B6423" w:rsidP="00211F38">
      <w:pPr>
        <w:jc w:val="both"/>
      </w:pPr>
      <w:r>
        <w:t>Capitol Building</w:t>
      </w:r>
    </w:p>
    <w:p w:rsidR="002B6423" w:rsidRDefault="002B6423" w:rsidP="00211F38">
      <w:pPr>
        <w:jc w:val="both"/>
      </w:pPr>
      <w:r>
        <w:t>Springfield, IL 62706</w:t>
      </w:r>
    </w:p>
    <w:p w:rsidR="002B6423" w:rsidRDefault="002B6423" w:rsidP="00211F38">
      <w:pPr>
        <w:jc w:val="both"/>
      </w:pPr>
    </w:p>
    <w:p w:rsidR="00211F38" w:rsidRDefault="00211F38" w:rsidP="00211F38">
      <w:pPr>
        <w:jc w:val="both"/>
      </w:pPr>
      <w:r>
        <w:t>Dear</w:t>
      </w:r>
      <w:r w:rsidR="000A7FF5">
        <w:t xml:space="preserve"> Senator</w:t>
      </w:r>
      <w:r>
        <w:t>:</w:t>
      </w:r>
    </w:p>
    <w:p w:rsidR="00211F38" w:rsidRDefault="00211F38" w:rsidP="00211F38">
      <w:pPr>
        <w:jc w:val="both"/>
      </w:pPr>
    </w:p>
    <w:p w:rsidR="00FD2FEB" w:rsidRDefault="00FD2FEB" w:rsidP="00FD2FEB">
      <w:pPr>
        <w:jc w:val="both"/>
      </w:pPr>
      <w:r>
        <w:tab/>
      </w:r>
      <w:r w:rsidR="000A7FF5">
        <w:tab/>
        <w:t xml:space="preserve">We urge you to insist that any bill providing for same-sex marriage include robust and specific protections for religious liberty — and then that you pass the bill. </w:t>
      </w:r>
    </w:p>
    <w:p w:rsidR="00FD2FEB" w:rsidRDefault="00FD2FEB" w:rsidP="00FD2FEB">
      <w:pPr>
        <w:jc w:val="both"/>
      </w:pPr>
    </w:p>
    <w:p w:rsidR="00FD2FEB" w:rsidRDefault="00FD2FEB" w:rsidP="00FD2FEB">
      <w:pPr>
        <w:jc w:val="both"/>
      </w:pPr>
      <w:r>
        <w:tab/>
        <w:t xml:space="preserve">All the signers of this letter have studied and written about the law of religious liberty for many years. </w:t>
      </w:r>
      <w:r w:rsidR="000A7FF5">
        <w:t xml:space="preserve">One </w:t>
      </w:r>
      <w:r>
        <w:t xml:space="preserve">of us </w:t>
      </w:r>
      <w:r w:rsidR="000A7FF5">
        <w:t xml:space="preserve">edited and </w:t>
      </w:r>
      <w:r>
        <w:t xml:space="preserve">contributed to the leading book on protecting both </w:t>
      </w:r>
      <w:r w:rsidR="00D224D2">
        <w:t xml:space="preserve">religious liberty </w:t>
      </w:r>
      <w:r>
        <w:t xml:space="preserve">and </w:t>
      </w:r>
      <w:r w:rsidR="00D224D2">
        <w:t xml:space="preserve">equality in marriage, </w:t>
      </w:r>
      <w:r w:rsidRPr="00045567">
        <w:rPr>
          <w:i/>
        </w:rPr>
        <w:t>Same-Sex Marriage and Religious Liberty</w:t>
      </w:r>
      <w:r>
        <w:t xml:space="preserve"> (2008).</w:t>
      </w:r>
    </w:p>
    <w:p w:rsidR="00211F38" w:rsidRDefault="00211F38" w:rsidP="00211F38">
      <w:pPr>
        <w:jc w:val="both"/>
      </w:pPr>
    </w:p>
    <w:p w:rsidR="00211F38" w:rsidRDefault="00211F38" w:rsidP="00211F38">
      <w:pPr>
        <w:jc w:val="both"/>
      </w:pPr>
      <w:r>
        <w:tab/>
      </w:r>
      <w:r w:rsidR="00123772">
        <w:t xml:space="preserve">Any bill on same-sex marriage should include religious liberty protections </w:t>
      </w:r>
      <w:r>
        <w:t xml:space="preserve">on the lines proposed in the separate letter that you recently received from </w:t>
      </w:r>
      <w:r w:rsidR="000A7FF5">
        <w:t xml:space="preserve">a group of scholars led by </w:t>
      </w:r>
      <w:r>
        <w:t>Professor Robin Fretwell Wilson.  We come to these issues from a rather different perspective</w:t>
      </w:r>
      <w:r w:rsidR="000A7FF5">
        <w:t xml:space="preserve"> from Professor </w:t>
      </w:r>
      <w:r w:rsidR="001C17E9">
        <w:t>Wilson</w:t>
      </w:r>
      <w:r w:rsidR="000A7FF5">
        <w:t xml:space="preserve">’s </w:t>
      </w:r>
      <w:r w:rsidR="001C17E9">
        <w:t>group</w:t>
      </w:r>
      <w:r>
        <w:t>, but their analysis of potential legal conflicts is accurate, and their proposed statutory language is necessary to legislation that is fair and just to all sides.</w:t>
      </w:r>
    </w:p>
    <w:p w:rsidR="00211F38" w:rsidRDefault="00211F38" w:rsidP="00211F38">
      <w:pPr>
        <w:jc w:val="both"/>
      </w:pPr>
    </w:p>
    <w:p w:rsidR="00211F38" w:rsidRDefault="00211F38" w:rsidP="00211F38">
      <w:pPr>
        <w:jc w:val="both"/>
      </w:pPr>
      <w:r>
        <w:tab/>
        <w:t>We support same-sex marriage.  We think equality in marriage can be a great advance for human liberty.  But careless or overly aggressive drafting could create a whole new set of problems for the religious liberty of those religious believers who cannot conscientiously participate in implementing the new regime.  The net effect for human liberty will be no better than a wash if same-sex couples now oppress religious dissenters in the same way that those dissenters, when they had the power to do so, used to oppress same-sex couples.</w:t>
      </w:r>
    </w:p>
    <w:p w:rsidR="00211F38" w:rsidRDefault="00211F38" w:rsidP="00211F38">
      <w:pPr>
        <w:jc w:val="both"/>
      </w:pPr>
    </w:p>
    <w:p w:rsidR="00123772" w:rsidRDefault="00123772" w:rsidP="00211F38">
      <w:pPr>
        <w:jc w:val="both"/>
      </w:pPr>
      <w:r>
        <w:tab/>
        <w:t xml:space="preserve">We realize that you may not share our view of equality in marriage. But we are confident you share our view of religious liberty. And we think it is critical to enact religious liberty protections with respect to same-sex marriage now, before it is too late. Same-sex marriage is coming sooner or later; all the polling data show that the supporters of same-sex marriage are much younger than the opponents. Right now, the issue is close; supporters of same-sex marriage may have to bargain to get their bill. But as their support increases, they will have less need to bargain, they will be freer to respond to the </w:t>
      </w:r>
      <w:r>
        <w:lastRenderedPageBreak/>
        <w:t xml:space="preserve">most aggressive members of their movement, and they will have the votes to enact same-sex marriage with no protection </w:t>
      </w:r>
      <w:r w:rsidR="00824642">
        <w:t xml:space="preserve">whatever </w:t>
      </w:r>
      <w:r>
        <w:t xml:space="preserve">for religious liberty. That is </w:t>
      </w:r>
      <w:r w:rsidR="00B63B9E">
        <w:t xml:space="preserve">very close to what they are trying to do; </w:t>
      </w:r>
      <w:r>
        <w:t xml:space="preserve">the protections for religious liberty in </w:t>
      </w:r>
      <w:r w:rsidR="000A7FF5">
        <w:t xml:space="preserve">last year’s House Bill 5170 </w:t>
      </w:r>
      <w:r w:rsidR="00B63B9E">
        <w:t>actually protect</w:t>
      </w:r>
      <w:r w:rsidR="000A7FF5">
        <w:t>ed</w:t>
      </w:r>
      <w:r w:rsidR="00B63B9E">
        <w:t xml:space="preserve"> very little. </w:t>
      </w:r>
      <w:r>
        <w:t>But at least from our distant observation point, it is not yet clear that they have the votes. Someday they will, probably sooner rather than later. The time to get legislation to protect religious conscience is now.</w:t>
      </w:r>
    </w:p>
    <w:p w:rsidR="00123772" w:rsidRDefault="00123772" w:rsidP="00211F38">
      <w:pPr>
        <w:jc w:val="both"/>
      </w:pPr>
    </w:p>
    <w:p w:rsidR="00123772" w:rsidRDefault="00123772" w:rsidP="00211F38">
      <w:pPr>
        <w:jc w:val="both"/>
      </w:pPr>
      <w:r>
        <w:tab/>
        <w:t xml:space="preserve">It is not enough to protect the right of clergy not to perform same-sex weddings. It is also necessary to protect the churches and synagogues in their other functions, </w:t>
      </w:r>
      <w:r w:rsidR="00F51988">
        <w:t xml:space="preserve">and to protect religious counseling services and religious adoption agencies. It is important to protect religious individuals who </w:t>
      </w:r>
      <w:r w:rsidR="00B45EA1">
        <w:t xml:space="preserve">assist with </w:t>
      </w:r>
      <w:r w:rsidR="00F51988">
        <w:t xml:space="preserve">weddings or provide professional services to help sustain marriages. </w:t>
      </w:r>
      <w:r w:rsidR="002B5727">
        <w:t>The Wilson</w:t>
      </w:r>
      <w:r w:rsidR="000A7FF5">
        <w:t xml:space="preserve"> group’s</w:t>
      </w:r>
      <w:r w:rsidR="002B5727">
        <w:t xml:space="preserve"> letter has specific statutory language that would accomplish these goals.</w:t>
      </w:r>
    </w:p>
    <w:p w:rsidR="00B63B9E" w:rsidRDefault="00B63B9E" w:rsidP="00211F38">
      <w:pPr>
        <w:jc w:val="both"/>
      </w:pPr>
    </w:p>
    <w:p w:rsidR="000526DA" w:rsidRDefault="000526DA" w:rsidP="00211F38">
      <w:pPr>
        <w:jc w:val="both"/>
        <w:rPr>
          <w:b/>
        </w:rPr>
      </w:pPr>
      <w:r w:rsidRPr="000526DA">
        <w:rPr>
          <w:b/>
        </w:rPr>
        <w:t>I.</w:t>
      </w:r>
      <w:r w:rsidRPr="000526DA">
        <w:rPr>
          <w:b/>
        </w:rPr>
        <w:tab/>
        <w:t>Religious Organizations</w:t>
      </w:r>
    </w:p>
    <w:p w:rsidR="000526DA" w:rsidRPr="000526DA" w:rsidRDefault="000526DA" w:rsidP="00211F38">
      <w:pPr>
        <w:jc w:val="both"/>
        <w:rPr>
          <w:b/>
        </w:rPr>
      </w:pPr>
    </w:p>
    <w:p w:rsidR="000A7FF5" w:rsidRDefault="000A7FF5" w:rsidP="000A7FF5">
      <w:pPr>
        <w:jc w:val="both"/>
      </w:pPr>
      <w:r>
        <w:tab/>
        <w:t xml:space="preserve">The Illinois Religious Freedom Protection and Civil Union Act addresses the issue in sweeping terms: “Nothing in this Act shall interfere with or regulate the religious practice of any religious body.” 750 Ill. Comp. Stat. §75/15. This is a sound statement of principle. And if this is as much as the Assembly can agree on, then this is the provision that should be included in a marriage bill. </w:t>
      </w:r>
    </w:p>
    <w:p w:rsidR="000A7FF5" w:rsidRDefault="000A7FF5" w:rsidP="000A7FF5">
      <w:pPr>
        <w:jc w:val="both"/>
      </w:pPr>
    </w:p>
    <w:p w:rsidR="000A7FF5" w:rsidRDefault="000A7FF5" w:rsidP="000A7FF5">
      <w:pPr>
        <w:jc w:val="both"/>
      </w:pPr>
      <w:r>
        <w:tab/>
        <w:t xml:space="preserve">But the bare statement of principle leaves it to litigation to determine what is a “religious practice,” what is a ”religious body,” </w:t>
      </w:r>
      <w:r w:rsidR="00824642">
        <w:t xml:space="preserve">what is interference or regulation, </w:t>
      </w:r>
      <w:r>
        <w:t>and whether the Assembly intended the full sweep of its language. Section 75/15 goes on to say that “Any religious body, Indian Nation or Tribe or Native Group is free to choose whether or not to solemnize or officiate a civil union.” Some lawyers may argue that this more specific provision somehow limits the scope of the more general provision.</w:t>
      </w:r>
    </w:p>
    <w:p w:rsidR="000A7FF5" w:rsidRDefault="000A7FF5" w:rsidP="000A7FF5">
      <w:pPr>
        <w:jc w:val="both"/>
      </w:pPr>
    </w:p>
    <w:p w:rsidR="000A7FF5" w:rsidRDefault="000A7FF5" w:rsidP="000A7FF5">
      <w:pPr>
        <w:jc w:val="both"/>
      </w:pPr>
      <w:r>
        <w:tab/>
        <w:t>House Bill 5170, considered in the 2012 regular session, addressed only the solemnization issue, and omitted the broad statement of principle in the Civil Union Act. The solemnization issue is important, but it is only the most obvious part of the issue for religious organizations. A bill that addresses only solemnization would do less to protect religious liberty than any other state that has enacted same-sex marriage.</w:t>
      </w:r>
    </w:p>
    <w:p w:rsidR="000A7FF5" w:rsidRDefault="000A7FF5" w:rsidP="000A7FF5">
      <w:pPr>
        <w:jc w:val="both"/>
      </w:pPr>
    </w:p>
    <w:p w:rsidR="000A7FF5" w:rsidRDefault="000A7FF5" w:rsidP="000A7FF5">
      <w:pPr>
        <w:jc w:val="both"/>
      </w:pPr>
      <w:r>
        <w:tab/>
        <w:t>A religious organization, in the course of carrying out its religious functions, cannot in good conscience treat as married two persons whose relationship fundamentally violates the religious organization’s understanding of marriage. Must the pastor provide pastoral counseling for a same-sex married couple? Must a religious college provide married-student housing for same-sex couples? A religious-liberty provision addressed only to solemnization neglects these and many similar issues.</w:t>
      </w:r>
    </w:p>
    <w:p w:rsidR="000A7FF5" w:rsidRDefault="000A7FF5" w:rsidP="000A7FF5">
      <w:pPr>
        <w:jc w:val="both"/>
      </w:pPr>
    </w:p>
    <w:p w:rsidR="000A7FF5" w:rsidRDefault="000A7FF5" w:rsidP="000A7FF5">
      <w:pPr>
        <w:jc w:val="both"/>
      </w:pPr>
      <w:r>
        <w:tab/>
        <w:t>We think the best solution is the more elaborate language proposed by Professor Wilson’s group. It anticipates the range of issues likely to arise and addresses them with care. But at the very least, any bill on same-sex marriage should include the broad statement of prin</w:t>
      </w:r>
      <w:r w:rsidR="002B6423">
        <w:t>ciple from the Civil Union Act.</w:t>
      </w:r>
    </w:p>
    <w:p w:rsidR="00B63B9E" w:rsidRPr="008018B3" w:rsidRDefault="008018B3" w:rsidP="00B63B9E">
      <w:pPr>
        <w:jc w:val="both"/>
        <w:rPr>
          <w:b/>
        </w:rPr>
      </w:pPr>
      <w:r w:rsidRPr="008018B3">
        <w:rPr>
          <w:b/>
        </w:rPr>
        <w:lastRenderedPageBreak/>
        <w:t>II.</w:t>
      </w:r>
      <w:r w:rsidRPr="008018B3">
        <w:rPr>
          <w:b/>
        </w:rPr>
        <w:tab/>
        <w:t>Individuals</w:t>
      </w:r>
    </w:p>
    <w:p w:rsidR="00B63B9E" w:rsidRDefault="00B63B9E" w:rsidP="00B63B9E">
      <w:pPr>
        <w:jc w:val="both"/>
      </w:pPr>
    </w:p>
    <w:p w:rsidR="000A7FF5" w:rsidRDefault="000A7FF5" w:rsidP="000A7FF5">
      <w:pPr>
        <w:jc w:val="both"/>
      </w:pPr>
      <w:r>
        <w:tab/>
        <w:t xml:space="preserve">Neither the Civil Union Act nor House Bill 5170 protected individuals who provide services to help celebrate weddings or professional services to help sustain marriages.  This omission threatens serious harm to a religious minority while conferring no real benefits on same-sex couples. Same-sex couples will rarely if ever actually want </w:t>
      </w:r>
      <w:r w:rsidR="0004321C">
        <w:t xml:space="preserve">such personalized </w:t>
      </w:r>
      <w:r>
        <w:t>services from providers who fundamentally disapprove of their relationship, and they will nearly always be able to readily obtain such services from others who are happy to serve them.</w:t>
      </w:r>
    </w:p>
    <w:p w:rsidR="000A7FF5" w:rsidRDefault="000A7FF5" w:rsidP="000A7FF5">
      <w:pPr>
        <w:jc w:val="both"/>
      </w:pPr>
    </w:p>
    <w:p w:rsidR="0004321C" w:rsidRDefault="0004321C" w:rsidP="0004321C">
      <w:pPr>
        <w:jc w:val="both"/>
      </w:pPr>
      <w:r>
        <w:tab/>
        <w:t xml:space="preserve">The Wilson group’s letter offers carefully crafted language that would address this problem in a way that is fair to both sides. It would protect only individuals and very small businesses, and only when some other business is reasonably available to provide the same service. But it would help ensure that people committed to a traditional view of marriage are not driven from the field. </w:t>
      </w:r>
    </w:p>
    <w:p w:rsidR="0004321C" w:rsidRDefault="0004321C" w:rsidP="0004321C">
      <w:pPr>
        <w:jc w:val="both"/>
      </w:pPr>
    </w:p>
    <w:p w:rsidR="008018B3" w:rsidRDefault="005839E7" w:rsidP="00211F38">
      <w:pPr>
        <w:jc w:val="both"/>
        <w:rPr>
          <w:b/>
        </w:rPr>
      </w:pPr>
      <w:r>
        <w:rPr>
          <w:b/>
        </w:rPr>
        <w:t>II</w:t>
      </w:r>
      <w:r w:rsidR="008018B3" w:rsidRPr="008018B3">
        <w:rPr>
          <w:b/>
        </w:rPr>
        <w:t>I.</w:t>
      </w:r>
      <w:r w:rsidR="008018B3" w:rsidRPr="008018B3">
        <w:rPr>
          <w:b/>
        </w:rPr>
        <w:tab/>
        <w:t>Conclusion</w:t>
      </w:r>
    </w:p>
    <w:p w:rsidR="008018B3" w:rsidRPr="008018B3" w:rsidRDefault="008018B3" w:rsidP="00211F38">
      <w:pPr>
        <w:jc w:val="both"/>
        <w:rPr>
          <w:b/>
        </w:rPr>
      </w:pPr>
    </w:p>
    <w:p w:rsidR="004F4210" w:rsidRDefault="00211F38" w:rsidP="004F4210">
      <w:pPr>
        <w:jc w:val="both"/>
      </w:pPr>
      <w:r>
        <w:tab/>
      </w:r>
      <w:r w:rsidR="00B45EA1">
        <w:t xml:space="preserve">Enacting </w:t>
      </w:r>
      <w:r>
        <w:t xml:space="preserve">the right to same-sex marriage with generous exemptions for religious dissenters is the right thing to do.  It respects the right of conscience for all sides.  It protects the liberty of same-sex couples and the liberty of religious dissenters.  </w:t>
      </w:r>
      <w:r w:rsidR="00B45EA1">
        <w:t>Adding religious liberty protections</w:t>
      </w:r>
      <w:r>
        <w:t xml:space="preserve"> is obviously better for the traditional religious believers; on a few moments’ reflection, it is also better for the same-sex couples.  Because it is better for both </w:t>
      </w:r>
      <w:r w:rsidR="00B63B9E">
        <w:t xml:space="preserve">sides, it is better for </w:t>
      </w:r>
      <w:r w:rsidR="004F4210">
        <w:t>Illinois. The language proposed in the Wilson group’s letter would protect the liberty of both sides. We urge you to add it to any bill on same-sex marriage.</w:t>
      </w:r>
    </w:p>
    <w:p w:rsidR="004F4210" w:rsidRDefault="004F4210" w:rsidP="004F4210">
      <w:pPr>
        <w:jc w:val="both"/>
      </w:pPr>
    </w:p>
    <w:p w:rsidR="004F4210" w:rsidRDefault="004F4210" w:rsidP="004F4210">
      <w:pPr>
        <w:jc w:val="both"/>
      </w:pPr>
      <w:r>
        <w:tab/>
        <w:t xml:space="preserve">At the very least, the bills should incorporate the language of § 75/15 in the Religious Freedom Protection and Civil Union Act. </w:t>
      </w:r>
    </w:p>
    <w:p w:rsidR="004F4210" w:rsidRDefault="004F4210" w:rsidP="004F4210">
      <w:pPr>
        <w:jc w:val="both"/>
      </w:pPr>
    </w:p>
    <w:p w:rsidR="004F4210" w:rsidRDefault="004F4210" w:rsidP="004F4210">
      <w:pPr>
        <w:jc w:val="both"/>
      </w:pPr>
      <w:r>
        <w:tab/>
        <w:t>Each of us signs this letter in our individual capacities; none of our employers takes a position on the issues we address.</w:t>
      </w:r>
    </w:p>
    <w:p w:rsidR="004F4210" w:rsidRDefault="004F4210" w:rsidP="004F4210">
      <w:pPr>
        <w:jc w:val="both"/>
      </w:pPr>
    </w:p>
    <w:p w:rsidR="00222330" w:rsidRDefault="004F4210" w:rsidP="004F4210">
      <w:pPr>
        <w:jc w:val="both"/>
      </w:pPr>
      <w:r>
        <w:tab/>
        <w:t xml:space="preserve">We are available to discuss these issues further if that would be of any benefit. </w:t>
      </w:r>
      <w:r w:rsidR="00B374F6">
        <w:t xml:space="preserve">There are rumors of a bill modeled on the New York statute; that statute has gaps and ambiguities that we would be happy to discuss. </w:t>
      </w:r>
      <w:r>
        <w:t>Professor Laycock will be traveling in early January, but can be reached at his e-mail, or by cell phone at 512-656-1789</w:t>
      </w:r>
      <w:r w:rsidR="00211F38">
        <w:t>.</w:t>
      </w:r>
      <w:r w:rsidR="00696785">
        <w:t xml:space="preserve"> </w:t>
      </w:r>
    </w:p>
    <w:p w:rsidR="00211F38" w:rsidRDefault="00211F38" w:rsidP="00211F38">
      <w:pPr>
        <w:jc w:val="both"/>
      </w:pPr>
    </w:p>
    <w:p w:rsidR="00211F38" w:rsidRDefault="00211F38" w:rsidP="00211F38">
      <w:pPr>
        <w:jc w:val="both"/>
      </w:pPr>
      <w:r>
        <w:tab/>
      </w:r>
      <w:r>
        <w:tab/>
      </w:r>
      <w:r>
        <w:tab/>
      </w:r>
      <w:r>
        <w:tab/>
      </w:r>
      <w:r>
        <w:tab/>
      </w:r>
      <w:r>
        <w:tab/>
      </w:r>
      <w:r>
        <w:tab/>
      </w:r>
      <w:r>
        <w:tab/>
      </w:r>
      <w:r>
        <w:tab/>
        <w:t>Very truly yours,</w:t>
      </w:r>
    </w:p>
    <w:p w:rsidR="00211F38" w:rsidRDefault="00211F38" w:rsidP="00211F38">
      <w:pPr>
        <w:jc w:val="both"/>
      </w:pPr>
    </w:p>
    <w:p w:rsidR="008578FC" w:rsidRDefault="008578FC" w:rsidP="008578FC">
      <w:pPr>
        <w:jc w:val="both"/>
      </w:pPr>
      <w:r>
        <w:t>Thomas C. Berg</w:t>
      </w:r>
      <w:r>
        <w:tab/>
      </w:r>
      <w:r>
        <w:tab/>
      </w:r>
      <w:r>
        <w:tab/>
      </w:r>
      <w:r>
        <w:tab/>
      </w:r>
      <w:r>
        <w:tab/>
      </w:r>
      <w:r>
        <w:tab/>
      </w:r>
      <w:r>
        <w:tab/>
      </w:r>
      <w:r>
        <w:tab/>
        <w:t>Douglas Laycock</w:t>
      </w:r>
    </w:p>
    <w:p w:rsidR="008578FC" w:rsidRDefault="008578FC" w:rsidP="008578FC">
      <w:pPr>
        <w:jc w:val="both"/>
      </w:pPr>
      <w:r>
        <w:t>James Oberstar Professor</w:t>
      </w:r>
      <w:r>
        <w:tab/>
      </w:r>
      <w:r>
        <w:tab/>
      </w:r>
      <w:r>
        <w:tab/>
      </w:r>
      <w:r>
        <w:tab/>
      </w:r>
      <w:r>
        <w:tab/>
      </w:r>
      <w:r>
        <w:tab/>
        <w:t xml:space="preserve">Robert E. Scott Distinguished Professor of </w:t>
      </w:r>
      <w:r>
        <w:tab/>
        <w:t>of Law &amp; Public Policy</w:t>
      </w:r>
      <w:r>
        <w:tab/>
      </w:r>
      <w:r>
        <w:tab/>
      </w:r>
      <w:r>
        <w:tab/>
      </w:r>
      <w:r>
        <w:tab/>
      </w:r>
      <w:r>
        <w:tab/>
        <w:t xml:space="preserve">    Law and Professor of Religious Studies</w:t>
      </w:r>
    </w:p>
    <w:p w:rsidR="008578FC" w:rsidRDefault="008578FC" w:rsidP="008578FC">
      <w:pPr>
        <w:jc w:val="both"/>
      </w:pPr>
      <w:r>
        <w:t>University of St. Thomas (Minnesota)</w:t>
      </w:r>
      <w:r>
        <w:tab/>
      </w:r>
      <w:r>
        <w:tab/>
        <w:t>University of Virginia</w:t>
      </w:r>
    </w:p>
    <w:p w:rsidR="008578FC" w:rsidRDefault="008A5D62" w:rsidP="008578FC">
      <w:pPr>
        <w:jc w:val="both"/>
      </w:pPr>
      <w:r>
        <w:t>tcberg@stthomas.edu</w:t>
      </w:r>
      <w:r>
        <w:tab/>
      </w:r>
      <w:r>
        <w:tab/>
      </w:r>
      <w:r>
        <w:tab/>
      </w:r>
      <w:r>
        <w:tab/>
      </w:r>
      <w:r>
        <w:tab/>
      </w:r>
      <w:r>
        <w:tab/>
      </w:r>
      <w:r>
        <w:tab/>
        <w:t>dlaycock@virginia.edu</w:t>
      </w:r>
    </w:p>
    <w:p w:rsidR="008A5D62" w:rsidRDefault="008A5D62" w:rsidP="008578FC">
      <w:pPr>
        <w:jc w:val="both"/>
      </w:pPr>
    </w:p>
    <w:p w:rsidR="008578FC" w:rsidRDefault="008578FC" w:rsidP="008578FC">
      <w:pPr>
        <w:jc w:val="both"/>
      </w:pPr>
      <w:r>
        <w:lastRenderedPageBreak/>
        <w:t>Bruce S. Ledewitz</w:t>
      </w:r>
      <w:r>
        <w:tab/>
      </w:r>
      <w:r>
        <w:tab/>
      </w:r>
      <w:r>
        <w:tab/>
      </w:r>
      <w:r>
        <w:tab/>
      </w:r>
      <w:r>
        <w:tab/>
      </w:r>
      <w:r>
        <w:tab/>
      </w:r>
      <w:r>
        <w:tab/>
      </w:r>
      <w:r>
        <w:tab/>
      </w:r>
      <w:r w:rsidR="00B374F6">
        <w:t>Christopher C. Lund</w:t>
      </w:r>
    </w:p>
    <w:p w:rsidR="008578FC" w:rsidRDefault="008578FC" w:rsidP="008578FC">
      <w:pPr>
        <w:jc w:val="both"/>
      </w:pPr>
      <w:r>
        <w:t>Professor of Law</w:t>
      </w:r>
      <w:r w:rsidRPr="0004365A">
        <w:t xml:space="preserve"> </w:t>
      </w:r>
      <w:r>
        <w:tab/>
      </w:r>
      <w:r>
        <w:tab/>
      </w:r>
      <w:r>
        <w:tab/>
      </w:r>
      <w:r>
        <w:tab/>
      </w:r>
      <w:r>
        <w:tab/>
      </w:r>
      <w:r>
        <w:tab/>
      </w:r>
      <w:r>
        <w:tab/>
      </w:r>
      <w:r>
        <w:tab/>
      </w:r>
      <w:r w:rsidR="00B374F6">
        <w:t xml:space="preserve">Assistant </w:t>
      </w:r>
      <w:r>
        <w:t>Professor of Law</w:t>
      </w:r>
    </w:p>
    <w:p w:rsidR="008578FC" w:rsidRDefault="008578FC" w:rsidP="008578FC">
      <w:pPr>
        <w:jc w:val="both"/>
      </w:pPr>
      <w:r>
        <w:t>Duquesne University</w:t>
      </w:r>
      <w:r w:rsidRPr="0004365A">
        <w:t xml:space="preserve"> </w:t>
      </w:r>
      <w:r>
        <w:tab/>
      </w:r>
      <w:r>
        <w:tab/>
      </w:r>
      <w:r>
        <w:tab/>
      </w:r>
      <w:r>
        <w:tab/>
      </w:r>
      <w:r>
        <w:tab/>
      </w:r>
      <w:r>
        <w:tab/>
      </w:r>
      <w:r>
        <w:tab/>
      </w:r>
      <w:r w:rsidR="00B374F6">
        <w:t>Wayne State University</w:t>
      </w:r>
    </w:p>
    <w:p w:rsidR="008A5D62" w:rsidRDefault="008A5D62" w:rsidP="008578FC">
      <w:pPr>
        <w:jc w:val="both"/>
      </w:pPr>
      <w:r>
        <w:t>ledewitz@duz.edu</w:t>
      </w:r>
      <w:r>
        <w:tab/>
      </w:r>
      <w:r>
        <w:tab/>
      </w:r>
      <w:r>
        <w:tab/>
      </w:r>
      <w:r>
        <w:tab/>
      </w:r>
      <w:r>
        <w:tab/>
      </w:r>
      <w:r>
        <w:tab/>
      </w:r>
      <w:r>
        <w:tab/>
      </w:r>
      <w:r>
        <w:tab/>
      </w:r>
      <w:r w:rsidR="00B374F6">
        <w:t>lund@wayne.edu</w:t>
      </w:r>
      <w:r w:rsidR="00B374F6">
        <w:br/>
      </w:r>
    </w:p>
    <w:p w:rsidR="00B374F6" w:rsidRDefault="00B374F6" w:rsidP="008578FC">
      <w:pPr>
        <w:jc w:val="both"/>
      </w:pPr>
      <w:r>
        <w:t>Michael Perry</w:t>
      </w:r>
    </w:p>
    <w:p w:rsidR="00B374F6" w:rsidRDefault="00B374F6" w:rsidP="008578FC">
      <w:pPr>
        <w:jc w:val="both"/>
      </w:pPr>
      <w:r>
        <w:t>Robert W. Woodruff Professor of Law</w:t>
      </w:r>
    </w:p>
    <w:p w:rsidR="00B374F6" w:rsidRDefault="00B374F6" w:rsidP="008578FC">
      <w:pPr>
        <w:jc w:val="both"/>
      </w:pPr>
      <w:r>
        <w:t>Emory University</w:t>
      </w:r>
    </w:p>
    <w:p w:rsidR="00B374F6" w:rsidRDefault="00B374F6" w:rsidP="008578FC">
      <w:pPr>
        <w:jc w:val="both"/>
      </w:pPr>
      <w:r>
        <w:t>mjperry@emory.edu</w:t>
      </w:r>
    </w:p>
    <w:sectPr w:rsidR="00B374F6" w:rsidSect="007B63B8">
      <w:headerReference w:type="first" r:id="rId7"/>
      <w:footerReference w:type="first" r:id="rId8"/>
      <w:pgSz w:w="12240" w:h="15840" w:code="1"/>
      <w:pgMar w:top="1440" w:right="1440" w:bottom="1440" w:left="21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642" w:rsidRDefault="00824642">
      <w:r>
        <w:separator/>
      </w:r>
    </w:p>
  </w:endnote>
  <w:endnote w:type="continuationSeparator" w:id="0">
    <w:p w:rsidR="00824642" w:rsidRDefault="00824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642" w:rsidRDefault="00824642" w:rsidP="00F96B1E">
    <w:pPr>
      <w:pStyle w:val="footerforletterhead"/>
    </w:pPr>
    <w:r w:rsidRPr="00F96B1E">
      <w:t xml:space="preserve">580 Massie Road • Charlottesville, VA 22903-1738 • </w:t>
    </w:r>
  </w:p>
  <w:p w:rsidR="00824642" w:rsidRPr="00F96B1E" w:rsidRDefault="00824642" w:rsidP="00F96B1E">
    <w:pPr>
      <w:pStyle w:val="footerforletterhead"/>
    </w:pPr>
    <w:r w:rsidRPr="00F96B1E">
      <w:t>P</w:t>
    </w:r>
    <w:r>
      <w:t>hone</w:t>
    </w:r>
    <w:r w:rsidRPr="00F96B1E">
      <w:t>: 434-243-8546 • F</w:t>
    </w:r>
    <w:r>
      <w:t>ax</w:t>
    </w:r>
    <w:r w:rsidRPr="00F96B1E">
      <w:t xml:space="preserve">: 434-924-7536 • dlaycock@virginia.edu </w:t>
    </w:r>
  </w:p>
  <w:p w:rsidR="00824642" w:rsidRPr="00B45B05" w:rsidRDefault="00824642" w:rsidP="00F96B1E">
    <w:pPr>
      <w:pStyle w:val="footerforletterhe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642" w:rsidRDefault="00824642">
      <w:r>
        <w:separator/>
      </w:r>
    </w:p>
  </w:footnote>
  <w:footnote w:type="continuationSeparator" w:id="0">
    <w:p w:rsidR="00824642" w:rsidRDefault="00824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642" w:rsidRDefault="00824642" w:rsidP="00B45B05">
    <w:pPr>
      <w:pStyle w:val="Header"/>
      <w:spacing w:before="60"/>
      <w:rPr>
        <w:rFonts w:ascii="Garamond" w:hAnsi="Garamond"/>
        <w:sz w:val="26"/>
        <w:szCs w:val="26"/>
      </w:rPr>
    </w:pPr>
    <w:r>
      <w:rPr>
        <w:rFonts w:ascii="Garamond" w:hAnsi="Garamond"/>
        <w:sz w:val="26"/>
        <w:szCs w:val="26"/>
      </w:rPr>
      <w:t>Douglas Laycock</w:t>
    </w:r>
  </w:p>
  <w:p w:rsidR="00824642" w:rsidRDefault="003A6A78" w:rsidP="00F96B1E">
    <w:pPr>
      <w:pStyle w:val="title"/>
    </w:pPr>
    <w:r>
      <w:rPr>
        <w:noProof/>
      </w:rPr>
      <w:pict>
        <v:line id="_x0000_s2057" style="position:absolute;z-index:-251658752" from="0,8.05pt" to="6in,8.05pt" strokeweight=".5pt"/>
      </w:pict>
    </w:r>
    <w:r w:rsidR="00824642">
      <w:t xml:space="preserve">robert e. scott distinguished Professor of Law </w:t>
    </w:r>
  </w:p>
  <w:p w:rsidR="00824642" w:rsidRDefault="00824642" w:rsidP="00B45B05">
    <w:pPr>
      <w:pStyle w:val="title"/>
      <w:spacing w:before="0"/>
    </w:pPr>
    <w:r>
      <w:t xml:space="preserve">HOrace W. Goldsmith Research Professor of Law </w:t>
    </w:r>
    <w:r>
      <w:br/>
      <w:t>Professor of Religious Studies</w:t>
    </w:r>
  </w:p>
  <w:p w:rsidR="00824642" w:rsidRDefault="00824642" w:rsidP="00B45B05">
    <w:pPr>
      <w:pStyle w:val="title"/>
      <w:spacing w:before="0"/>
    </w:pPr>
    <w:r>
      <w:t>Alice McKean Young Regents Chair in Law Emeritus, University of Texas at Austin</w:t>
    </w:r>
  </w:p>
  <w:p w:rsidR="00824642" w:rsidRPr="006207DB" w:rsidRDefault="00824642" w:rsidP="006207DB">
    <w:pPr>
      <w:pStyle w:val="Header"/>
      <w:spacing w:line="320" w:lineRule="exact"/>
      <w:rPr>
        <w:rFonts w:ascii="Palatino Linotype" w:hAnsi="Palatino Linotype"/>
        <w:caps/>
        <w:spacing w:val="20"/>
        <w:position w:val="-10"/>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36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rsids>
    <w:rsidRoot w:val="00A77E45"/>
    <w:rsid w:val="0001051C"/>
    <w:rsid w:val="0001456E"/>
    <w:rsid w:val="0001641E"/>
    <w:rsid w:val="00020DB3"/>
    <w:rsid w:val="0004321C"/>
    <w:rsid w:val="000526DA"/>
    <w:rsid w:val="00057E9E"/>
    <w:rsid w:val="00065701"/>
    <w:rsid w:val="000871F7"/>
    <w:rsid w:val="00093799"/>
    <w:rsid w:val="000A2FFD"/>
    <w:rsid w:val="000A7FF5"/>
    <w:rsid w:val="000F1624"/>
    <w:rsid w:val="000F2163"/>
    <w:rsid w:val="001157A3"/>
    <w:rsid w:val="00123772"/>
    <w:rsid w:val="00130F1A"/>
    <w:rsid w:val="00140253"/>
    <w:rsid w:val="00143ECB"/>
    <w:rsid w:val="0015586A"/>
    <w:rsid w:val="001A37B4"/>
    <w:rsid w:val="001C17E9"/>
    <w:rsid w:val="0020531E"/>
    <w:rsid w:val="00211F38"/>
    <w:rsid w:val="00222330"/>
    <w:rsid w:val="002835CC"/>
    <w:rsid w:val="00294C16"/>
    <w:rsid w:val="002B09E1"/>
    <w:rsid w:val="002B5727"/>
    <w:rsid w:val="002B6423"/>
    <w:rsid w:val="002C0F9C"/>
    <w:rsid w:val="002E51B5"/>
    <w:rsid w:val="00314EF1"/>
    <w:rsid w:val="00315746"/>
    <w:rsid w:val="003439C6"/>
    <w:rsid w:val="00354E39"/>
    <w:rsid w:val="003627A4"/>
    <w:rsid w:val="003A6A78"/>
    <w:rsid w:val="003B052D"/>
    <w:rsid w:val="003C24C9"/>
    <w:rsid w:val="003E7215"/>
    <w:rsid w:val="003F485A"/>
    <w:rsid w:val="00425647"/>
    <w:rsid w:val="00462ACE"/>
    <w:rsid w:val="004A0DED"/>
    <w:rsid w:val="004F3EC1"/>
    <w:rsid w:val="004F4210"/>
    <w:rsid w:val="0055207D"/>
    <w:rsid w:val="005839E7"/>
    <w:rsid w:val="00590B5A"/>
    <w:rsid w:val="005914C3"/>
    <w:rsid w:val="005B6BF3"/>
    <w:rsid w:val="005C2E4E"/>
    <w:rsid w:val="005C3F14"/>
    <w:rsid w:val="00615220"/>
    <w:rsid w:val="006207DB"/>
    <w:rsid w:val="00644BC5"/>
    <w:rsid w:val="00647650"/>
    <w:rsid w:val="00665DDC"/>
    <w:rsid w:val="006724F6"/>
    <w:rsid w:val="00674A48"/>
    <w:rsid w:val="0068627B"/>
    <w:rsid w:val="006927CA"/>
    <w:rsid w:val="00696785"/>
    <w:rsid w:val="006A5577"/>
    <w:rsid w:val="006D7410"/>
    <w:rsid w:val="006E0BA2"/>
    <w:rsid w:val="006E7CB9"/>
    <w:rsid w:val="00781F79"/>
    <w:rsid w:val="00790C9B"/>
    <w:rsid w:val="007B63B8"/>
    <w:rsid w:val="007B650E"/>
    <w:rsid w:val="007F6058"/>
    <w:rsid w:val="007F77F0"/>
    <w:rsid w:val="008018B3"/>
    <w:rsid w:val="00824642"/>
    <w:rsid w:val="00853A0A"/>
    <w:rsid w:val="008578FC"/>
    <w:rsid w:val="008A5D62"/>
    <w:rsid w:val="008D3C8A"/>
    <w:rsid w:val="008E4790"/>
    <w:rsid w:val="008E6546"/>
    <w:rsid w:val="00915886"/>
    <w:rsid w:val="0095039B"/>
    <w:rsid w:val="00977274"/>
    <w:rsid w:val="00986EF4"/>
    <w:rsid w:val="009C580C"/>
    <w:rsid w:val="009D5374"/>
    <w:rsid w:val="009E03CD"/>
    <w:rsid w:val="00A11FEF"/>
    <w:rsid w:val="00A23877"/>
    <w:rsid w:val="00A45796"/>
    <w:rsid w:val="00A45969"/>
    <w:rsid w:val="00A5437A"/>
    <w:rsid w:val="00A75F0E"/>
    <w:rsid w:val="00A77E45"/>
    <w:rsid w:val="00A85CD0"/>
    <w:rsid w:val="00AC746D"/>
    <w:rsid w:val="00B044C2"/>
    <w:rsid w:val="00B374F6"/>
    <w:rsid w:val="00B41030"/>
    <w:rsid w:val="00B45B05"/>
    <w:rsid w:val="00B45EA1"/>
    <w:rsid w:val="00B53D44"/>
    <w:rsid w:val="00B63B9E"/>
    <w:rsid w:val="00B85056"/>
    <w:rsid w:val="00B9619B"/>
    <w:rsid w:val="00BD68EF"/>
    <w:rsid w:val="00C07AF9"/>
    <w:rsid w:val="00C56990"/>
    <w:rsid w:val="00C95BE7"/>
    <w:rsid w:val="00CA2678"/>
    <w:rsid w:val="00CC5F5A"/>
    <w:rsid w:val="00CD5DF0"/>
    <w:rsid w:val="00CE1B37"/>
    <w:rsid w:val="00D224D2"/>
    <w:rsid w:val="00D36FF8"/>
    <w:rsid w:val="00D56437"/>
    <w:rsid w:val="00D761CE"/>
    <w:rsid w:val="00D850AD"/>
    <w:rsid w:val="00DE174F"/>
    <w:rsid w:val="00E03F73"/>
    <w:rsid w:val="00E37062"/>
    <w:rsid w:val="00E513C6"/>
    <w:rsid w:val="00ED4498"/>
    <w:rsid w:val="00ED702A"/>
    <w:rsid w:val="00EE77C9"/>
    <w:rsid w:val="00F26069"/>
    <w:rsid w:val="00F4728D"/>
    <w:rsid w:val="00F51988"/>
    <w:rsid w:val="00F96B1E"/>
    <w:rsid w:val="00F96E38"/>
    <w:rsid w:val="00FC0144"/>
    <w:rsid w:val="00FD2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8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6BF3"/>
    <w:pPr>
      <w:tabs>
        <w:tab w:val="center" w:pos="4320"/>
        <w:tab w:val="right" w:pos="8640"/>
      </w:tabs>
    </w:pPr>
  </w:style>
  <w:style w:type="paragraph" w:styleId="Footer">
    <w:name w:val="footer"/>
    <w:basedOn w:val="Normal"/>
    <w:rsid w:val="005B6BF3"/>
    <w:pPr>
      <w:tabs>
        <w:tab w:val="center" w:pos="4320"/>
        <w:tab w:val="right" w:pos="8640"/>
      </w:tabs>
    </w:pPr>
  </w:style>
  <w:style w:type="paragraph" w:styleId="NormalWeb">
    <w:name w:val="Normal (Web)"/>
    <w:basedOn w:val="Normal"/>
    <w:rsid w:val="006A5577"/>
    <w:pPr>
      <w:spacing w:before="100" w:beforeAutospacing="1" w:after="100" w:afterAutospacing="1"/>
    </w:pPr>
  </w:style>
  <w:style w:type="paragraph" w:customStyle="1" w:styleId="title">
    <w:name w:val="title"/>
    <w:basedOn w:val="Header"/>
    <w:autoRedefine/>
    <w:rsid w:val="00B45B05"/>
    <w:pPr>
      <w:spacing w:before="300" w:line="336" w:lineRule="auto"/>
    </w:pPr>
    <w:rPr>
      <w:rFonts w:ascii="Garamond" w:hAnsi="Garamond"/>
      <w:caps/>
      <w:spacing w:val="30"/>
      <w:position w:val="-10"/>
      <w:sz w:val="13"/>
      <w:szCs w:val="12"/>
    </w:rPr>
  </w:style>
  <w:style w:type="paragraph" w:customStyle="1" w:styleId="name">
    <w:name w:val="name"/>
    <w:basedOn w:val="Header"/>
    <w:rsid w:val="0001641E"/>
    <w:pPr>
      <w:spacing w:before="60"/>
    </w:pPr>
    <w:rPr>
      <w:rFonts w:ascii="Garamond" w:hAnsi="Garamond"/>
      <w:sz w:val="26"/>
      <w:szCs w:val="26"/>
    </w:rPr>
  </w:style>
  <w:style w:type="paragraph" w:customStyle="1" w:styleId="footerforletterhead">
    <w:name w:val="footer for letterhead"/>
    <w:basedOn w:val="Footer"/>
    <w:autoRedefine/>
    <w:rsid w:val="00F96B1E"/>
    <w:pPr>
      <w:tabs>
        <w:tab w:val="clear" w:pos="8640"/>
      </w:tabs>
      <w:ind w:left="-1080" w:right="-360"/>
      <w:jc w:val="center"/>
    </w:pPr>
    <w:rPr>
      <w:rFonts w:ascii="Garamond" w:hAnsi="Garamond"/>
      <w:smallCaps/>
      <w:sz w:val="20"/>
      <w:szCs w:val="20"/>
      <w:lang w:val="fr-FR"/>
    </w:rPr>
  </w:style>
  <w:style w:type="paragraph" w:customStyle="1" w:styleId="boytextgaramond">
    <w:name w:val="boytext garamond"/>
    <w:basedOn w:val="Normal"/>
    <w:rsid w:val="006724F6"/>
    <w:rPr>
      <w:rFonts w:ascii="Garamond" w:hAnsi="Garamond"/>
    </w:rPr>
  </w:style>
  <w:style w:type="paragraph" w:styleId="BalloonText">
    <w:name w:val="Balloon Text"/>
    <w:basedOn w:val="Normal"/>
    <w:link w:val="BalloonTextChar"/>
    <w:rsid w:val="00C07AF9"/>
    <w:rPr>
      <w:rFonts w:ascii="Tahoma" w:hAnsi="Tahoma" w:cs="Tahoma"/>
      <w:sz w:val="16"/>
      <w:szCs w:val="16"/>
    </w:rPr>
  </w:style>
  <w:style w:type="character" w:customStyle="1" w:styleId="BalloonTextChar">
    <w:name w:val="Balloon Text Char"/>
    <w:basedOn w:val="DefaultParagraphFont"/>
    <w:link w:val="BalloonText"/>
    <w:rsid w:val="00C07AF9"/>
    <w:rPr>
      <w:rFonts w:ascii="Tahoma" w:hAnsi="Tahoma" w:cs="Tahoma"/>
      <w:sz w:val="16"/>
      <w:szCs w:val="16"/>
    </w:rPr>
  </w:style>
  <w:style w:type="paragraph" w:styleId="NoSpacing">
    <w:name w:val="No Spacing"/>
    <w:uiPriority w:val="1"/>
    <w:qFormat/>
    <w:rsid w:val="00ED4498"/>
    <w:rPr>
      <w:rFonts w:asciiTheme="minorHAnsi" w:eastAsiaTheme="minorHAnsi" w:hAnsiTheme="minorHAnsi" w:cstheme="minorBidi"/>
      <w:sz w:val="22"/>
      <w:szCs w:val="22"/>
    </w:rPr>
  </w:style>
  <w:style w:type="character" w:styleId="Hyperlink">
    <w:name w:val="Hyperlink"/>
    <w:basedOn w:val="DefaultParagraphFont"/>
    <w:uiPriority w:val="99"/>
    <w:unhideWhenUsed/>
    <w:rsid w:val="00E513C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8252838">
      <w:bodyDiv w:val="1"/>
      <w:marLeft w:val="0"/>
      <w:marRight w:val="0"/>
      <w:marTop w:val="0"/>
      <w:marBottom w:val="0"/>
      <w:divBdr>
        <w:top w:val="none" w:sz="0" w:space="0" w:color="auto"/>
        <w:left w:val="none" w:sz="0" w:space="0" w:color="auto"/>
        <w:bottom w:val="none" w:sz="0" w:space="0" w:color="auto"/>
        <w:right w:val="none" w:sz="0" w:space="0" w:color="auto"/>
      </w:divBdr>
      <w:divsChild>
        <w:div w:id="2053143339">
          <w:marLeft w:val="0"/>
          <w:marRight w:val="0"/>
          <w:marTop w:val="0"/>
          <w:marBottom w:val="0"/>
          <w:divBdr>
            <w:top w:val="none" w:sz="0" w:space="0" w:color="auto"/>
            <w:left w:val="none" w:sz="0" w:space="0" w:color="auto"/>
            <w:bottom w:val="none" w:sz="0" w:space="0" w:color="auto"/>
            <w:right w:val="none" w:sz="0" w:space="0" w:color="auto"/>
          </w:divBdr>
          <w:divsChild>
            <w:div w:id="4346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vt:lpstr>
    </vt:vector>
  </TitlesOfParts>
  <Company>UVA</Company>
  <LinksUpToDate>false</LinksUpToDate>
  <CharactersWithSpaces>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LAWSCHOOL</dc:creator>
  <cp:lastModifiedBy>Douglas Laycock</cp:lastModifiedBy>
  <cp:revision>4</cp:revision>
  <cp:lastPrinted>2012-12-24T21:04:00Z</cp:lastPrinted>
  <dcterms:created xsi:type="dcterms:W3CDTF">2012-12-20T18:13:00Z</dcterms:created>
  <dcterms:modified xsi:type="dcterms:W3CDTF">2012-12-24T21:11:00Z</dcterms:modified>
</cp:coreProperties>
</file>