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33AE" w:rsidRDefault="00B46296" w:rsidP="00AB42CC">
      <w:pPr>
        <w:ind w:left="3960"/>
      </w:pPr>
      <w:r>
        <w:t xml:space="preserve">May </w:t>
      </w:r>
      <w:r w:rsidR="007F6E99">
        <w:t>8</w:t>
      </w:r>
      <w:r>
        <w:t>,</w:t>
      </w:r>
      <w:r w:rsidR="009F33AE" w:rsidRPr="008B1039">
        <w:t xml:space="preserve"> 2009</w:t>
      </w:r>
    </w:p>
    <w:p w:rsidR="009F33AE" w:rsidRDefault="009F33AE" w:rsidP="009F33AE">
      <w:pPr>
        <w:jc w:val="both"/>
      </w:pPr>
    </w:p>
    <w:p w:rsidR="00AB42CC" w:rsidRDefault="00AB42CC" w:rsidP="009F33AE">
      <w:pPr>
        <w:jc w:val="both"/>
        <w:rPr>
          <w:b/>
          <w:u w:val="single"/>
        </w:rPr>
      </w:pPr>
    </w:p>
    <w:p w:rsidR="00AB42CC" w:rsidRDefault="00AB42CC" w:rsidP="009F33AE">
      <w:pPr>
        <w:jc w:val="both"/>
        <w:rPr>
          <w:b/>
          <w:u w:val="single"/>
        </w:rPr>
      </w:pPr>
    </w:p>
    <w:p w:rsidR="009F33AE" w:rsidRPr="00061C2C" w:rsidRDefault="009F33AE" w:rsidP="009F33AE">
      <w:pPr>
        <w:jc w:val="both"/>
        <w:rPr>
          <w:b/>
          <w:u w:val="single"/>
        </w:rPr>
      </w:pPr>
      <w:r>
        <w:rPr>
          <w:b/>
          <w:u w:val="single"/>
        </w:rPr>
        <w:t xml:space="preserve">BY </w:t>
      </w:r>
      <w:r w:rsidR="00D8586E">
        <w:rPr>
          <w:b/>
          <w:u w:val="single"/>
        </w:rPr>
        <w:t>EMAIL</w:t>
      </w:r>
      <w:r>
        <w:rPr>
          <w:b/>
          <w:u w:val="single"/>
        </w:rPr>
        <w:t xml:space="preserve"> AND FEDERAL EXPRESS</w:t>
      </w:r>
    </w:p>
    <w:p w:rsidR="009F33AE" w:rsidRDefault="009F33AE" w:rsidP="009F33AE">
      <w:pPr>
        <w:jc w:val="both"/>
      </w:pPr>
    </w:p>
    <w:p w:rsidR="003D21DC" w:rsidRDefault="00D44262" w:rsidP="009E10E9">
      <w:pPr>
        <w:jc w:val="both"/>
      </w:pPr>
      <w:r>
        <w:t xml:space="preserve">Assemblyman </w:t>
      </w:r>
      <w:r w:rsidR="00371C2D">
        <w:t>Sheldon Silver</w:t>
      </w:r>
    </w:p>
    <w:p w:rsidR="00D8586E" w:rsidRDefault="00371C2D" w:rsidP="009E10E9">
      <w:pPr>
        <w:jc w:val="both"/>
      </w:pPr>
      <w:r>
        <w:t>932</w:t>
      </w:r>
      <w:r w:rsidR="00D8586E">
        <w:t xml:space="preserve"> Legislative Office Building</w:t>
      </w:r>
    </w:p>
    <w:p w:rsidR="003D21DC" w:rsidRDefault="00D8586E" w:rsidP="009E10E9">
      <w:pPr>
        <w:jc w:val="both"/>
      </w:pPr>
      <w:r>
        <w:t>Albany</w:t>
      </w:r>
      <w:r w:rsidR="00AB42CC">
        <w:t xml:space="preserve">, NY </w:t>
      </w:r>
      <w:r>
        <w:t>1224</w:t>
      </w:r>
      <w:r w:rsidR="00D44262">
        <w:t>8</w:t>
      </w:r>
    </w:p>
    <w:p w:rsidR="009F33AE" w:rsidRPr="00D8586E" w:rsidRDefault="00371C2D" w:rsidP="009F33AE">
      <w:pPr>
        <w:jc w:val="both"/>
        <w:rPr>
          <w:u w:val="single"/>
        </w:rPr>
      </w:pPr>
      <w:r>
        <w:rPr>
          <w:u w:val="single"/>
        </w:rPr>
        <w:t>Speaker@assembly.state.ny.us</w:t>
      </w:r>
    </w:p>
    <w:p w:rsidR="00AB42CC" w:rsidRDefault="00AB42CC" w:rsidP="009F33AE">
      <w:pPr>
        <w:jc w:val="both"/>
      </w:pPr>
    </w:p>
    <w:p w:rsidR="009F33AE" w:rsidRPr="004A5E74" w:rsidRDefault="009F33AE" w:rsidP="009F33AE">
      <w:pPr>
        <w:tabs>
          <w:tab w:val="left" w:pos="1440"/>
        </w:tabs>
        <w:ind w:left="2880" w:hanging="2160"/>
        <w:jc w:val="both"/>
        <w:rPr>
          <w:b/>
        </w:rPr>
      </w:pPr>
      <w:r>
        <w:rPr>
          <w:b/>
        </w:rPr>
        <w:t>R</w:t>
      </w:r>
      <w:r w:rsidRPr="004A5E74">
        <w:rPr>
          <w:b/>
        </w:rPr>
        <w:t>e:</w:t>
      </w:r>
      <w:r w:rsidRPr="004A5E74">
        <w:rPr>
          <w:b/>
        </w:rPr>
        <w:tab/>
        <w:t>R</w:t>
      </w:r>
      <w:r>
        <w:rPr>
          <w:b/>
        </w:rPr>
        <w:t xml:space="preserve">eligious liberty implications of </w:t>
      </w:r>
      <w:r w:rsidR="00BD38EB">
        <w:rPr>
          <w:b/>
        </w:rPr>
        <w:t>A07732 and S04401</w:t>
      </w:r>
    </w:p>
    <w:p w:rsidR="009F33AE" w:rsidRDefault="009F33AE" w:rsidP="009F33AE">
      <w:pPr>
        <w:jc w:val="both"/>
      </w:pPr>
    </w:p>
    <w:p w:rsidR="009F33AE" w:rsidRDefault="009F33AE" w:rsidP="009F33AE">
      <w:pPr>
        <w:jc w:val="both"/>
      </w:pPr>
      <w:r>
        <w:t xml:space="preserve">Dear </w:t>
      </w:r>
      <w:r w:rsidR="00D44262">
        <w:t xml:space="preserve">Assemblyman </w:t>
      </w:r>
      <w:r w:rsidR="00371C2D">
        <w:t>Silver</w:t>
      </w:r>
      <w:r>
        <w:t>:</w:t>
      </w:r>
    </w:p>
    <w:p w:rsidR="009F33AE" w:rsidRDefault="009F33AE" w:rsidP="009F33AE">
      <w:pPr>
        <w:jc w:val="both"/>
      </w:pPr>
    </w:p>
    <w:p w:rsidR="00782CA9" w:rsidRPr="00221219" w:rsidRDefault="009F33AE" w:rsidP="00782CA9">
      <w:pPr>
        <w:ind w:firstLine="720"/>
        <w:jc w:val="both"/>
      </w:pPr>
      <w:r>
        <w:t xml:space="preserve">We write to provide you with an analysis of the effects of </w:t>
      </w:r>
      <w:r w:rsidR="00BD38EB" w:rsidRPr="00BD38EB">
        <w:t>A07732 and S04401</w:t>
      </w:r>
      <w:r w:rsidRPr="00BD38EB">
        <w:t xml:space="preserve"> </w:t>
      </w:r>
      <w:r>
        <w:t xml:space="preserve">on religious liberty.  Those effects would be widespread and </w:t>
      </w:r>
      <w:r w:rsidR="00CC0707">
        <w:t>profound</w:t>
      </w:r>
      <w:r>
        <w:t xml:space="preserve">.  If </w:t>
      </w:r>
      <w:r w:rsidR="00BD38EB" w:rsidRPr="00BD38EB">
        <w:t>A07732 and S04401</w:t>
      </w:r>
      <w:r>
        <w:t xml:space="preserve"> </w:t>
      </w:r>
      <w:r w:rsidR="00BD38EB">
        <w:t xml:space="preserve">are </w:t>
      </w:r>
      <w:r>
        <w:t xml:space="preserve">passed in </w:t>
      </w:r>
      <w:r w:rsidR="00BD38EB">
        <w:t xml:space="preserve">their </w:t>
      </w:r>
      <w:r>
        <w:t xml:space="preserve">current form—without </w:t>
      </w:r>
      <w:r w:rsidR="006B00EB">
        <w:t xml:space="preserve">adequate </w:t>
      </w:r>
      <w:r>
        <w:t>religious-conscience prote</w:t>
      </w:r>
      <w:r>
        <w:t>c</w:t>
      </w:r>
      <w:r>
        <w:t xml:space="preserve">tions—many religious organizations and individuals will be forced to engage in conduct that violates their deepest religious beliefs, and religious organizations would be limited in crucial aspects of their religious exercise.  Instead of passing </w:t>
      </w:r>
      <w:r w:rsidR="00BD38EB" w:rsidRPr="00BD38EB">
        <w:t>A07732 and S04401</w:t>
      </w:r>
      <w:r>
        <w:t xml:space="preserve"> in </w:t>
      </w:r>
      <w:r w:rsidR="00BD38EB">
        <w:t xml:space="preserve">their </w:t>
      </w:r>
      <w:r>
        <w:t xml:space="preserve">current form, the </w:t>
      </w:r>
      <w:r w:rsidR="00512A82" w:rsidRPr="00512A82">
        <w:t>Legislature</w:t>
      </w:r>
      <w:r w:rsidR="00BD38EB">
        <w:t xml:space="preserve"> </w:t>
      </w:r>
      <w:r>
        <w:t xml:space="preserve">should take the time and care necessary to ensure that </w:t>
      </w:r>
      <w:r w:rsidR="00FF5FA4">
        <w:t xml:space="preserve">the legalization of same-sex marriage does not constrain </w:t>
      </w:r>
      <w:r w:rsidR="00782CA9" w:rsidRPr="00221219">
        <w:t>the fundamental right of rel</w:t>
      </w:r>
      <w:r w:rsidR="00782CA9" w:rsidRPr="00221219">
        <w:t>i</w:t>
      </w:r>
      <w:r w:rsidR="00782CA9" w:rsidRPr="00221219">
        <w:t xml:space="preserve">gious </w:t>
      </w:r>
      <w:r w:rsidR="00945165">
        <w:t>liberty</w:t>
      </w:r>
      <w:r w:rsidR="00782CA9" w:rsidRPr="00221219">
        <w:t>.</w:t>
      </w:r>
    </w:p>
    <w:p w:rsidR="009F33AE" w:rsidRDefault="009F33AE" w:rsidP="009F33AE">
      <w:pPr>
        <w:ind w:firstLine="720"/>
        <w:jc w:val="both"/>
      </w:pPr>
    </w:p>
    <w:p w:rsidR="009F33AE" w:rsidRPr="00023DB2" w:rsidRDefault="009F33AE" w:rsidP="009F33AE">
      <w:pPr>
        <w:jc w:val="center"/>
        <w:rPr>
          <w:b/>
          <w:u w:val="single"/>
        </w:rPr>
      </w:pPr>
      <w:r w:rsidRPr="00023DB2">
        <w:rPr>
          <w:b/>
          <w:u w:val="single"/>
        </w:rPr>
        <w:t xml:space="preserve">Wide-ranging </w:t>
      </w:r>
      <w:r>
        <w:rPr>
          <w:b/>
          <w:u w:val="single"/>
        </w:rPr>
        <w:t xml:space="preserve">conflicts </w:t>
      </w:r>
      <w:r w:rsidRPr="00023DB2">
        <w:rPr>
          <w:b/>
          <w:u w:val="single"/>
        </w:rPr>
        <w:t>recognized by legal scholars</w:t>
      </w:r>
    </w:p>
    <w:p w:rsidR="009F33AE" w:rsidRDefault="009F33AE" w:rsidP="009F33AE">
      <w:pPr>
        <w:ind w:firstLine="720"/>
        <w:jc w:val="both"/>
      </w:pPr>
    </w:p>
    <w:p w:rsidR="009F33AE" w:rsidRDefault="009F33AE" w:rsidP="004607A7">
      <w:pPr>
        <w:ind w:firstLine="720"/>
        <w:jc w:val="both"/>
      </w:pPr>
      <w:r>
        <w:t>In the only comprehensive scholarly work on same-sex marriage and religious liberty to date,</w:t>
      </w:r>
      <w:r>
        <w:rPr>
          <w:rStyle w:val="FootnoteReference"/>
        </w:rPr>
        <w:footnoteReference w:id="1"/>
      </w:r>
      <w:r>
        <w:t xml:space="preserve"> legal scholars on both sides of the same-sex marriage debate agreed that codifying same-sex marriage </w:t>
      </w:r>
      <w:r w:rsidRPr="0005666E">
        <w:rPr>
          <w:b/>
          <w:i/>
        </w:rPr>
        <w:t>without</w:t>
      </w:r>
      <w:r>
        <w:t xml:space="preserve"> providing robust religious accommodations will create widespread and unnecessary legal conflict—conflict that will work a “sea change in American law” and will “reverberate across the legal and religious landscape.”</w:t>
      </w:r>
      <w:r>
        <w:rPr>
          <w:rStyle w:val="FootnoteReference"/>
        </w:rPr>
        <w:footnoteReference w:id="2"/>
      </w:r>
      <w:r>
        <w:t xml:space="preserve">  The conflicts between religious liberty and same-sex marriage generally take one of two forms.  First, if same-sex marriage is legalized without appropriate religious accomm</w:t>
      </w:r>
      <w:r>
        <w:t>o</w:t>
      </w:r>
      <w:r>
        <w:t>dations, religious organizations or individuals that object to same-sex marriage will face a wave of new lawsuits under state anti-discrimination and other laws.  So will many small businesses, which are owned by individual conscientious objectors.  Likely la</w:t>
      </w:r>
      <w:r>
        <w:t>w</w:t>
      </w:r>
      <w:r>
        <w:t>suits include claims that:</w:t>
      </w:r>
    </w:p>
    <w:p w:rsidR="009F33AE" w:rsidRDefault="009F33AE" w:rsidP="009F33AE">
      <w:pPr>
        <w:jc w:val="both"/>
      </w:pPr>
    </w:p>
    <w:p w:rsidR="009F33AE" w:rsidRDefault="009F33AE" w:rsidP="009F33AE">
      <w:pPr>
        <w:numPr>
          <w:ilvl w:val="0"/>
          <w:numId w:val="1"/>
        </w:numPr>
        <w:jc w:val="both"/>
      </w:pPr>
      <w:r>
        <w:t>A religious college that offers special housing for married students can be sued under housing discrimination laws for offering that housing to opposite-sex, but not same-sex, married couples.</w:t>
      </w:r>
      <w:r>
        <w:rPr>
          <w:rStyle w:val="FootnoteReference"/>
        </w:rPr>
        <w:footnoteReference w:id="3"/>
      </w:r>
    </w:p>
    <w:p w:rsidR="009F33AE" w:rsidRDefault="009F33AE" w:rsidP="009F33AE">
      <w:pPr>
        <w:pStyle w:val="ListParagraph"/>
      </w:pPr>
    </w:p>
    <w:p w:rsidR="009F33AE" w:rsidRDefault="009F33AE" w:rsidP="009F33AE">
      <w:pPr>
        <w:numPr>
          <w:ilvl w:val="0"/>
          <w:numId w:val="1"/>
        </w:numPr>
        <w:jc w:val="both"/>
      </w:pPr>
      <w:r>
        <w:t>A religious school or university that has a code of conduct prohibiting same-sex sexual relationships can be sued under anti-discrimination laws for refusing to admit students (or children of parents) in a same-sex ma</w:t>
      </w:r>
      <w:r>
        <w:t>r</w:t>
      </w:r>
      <w:r>
        <w:t>riage.</w:t>
      </w:r>
      <w:r>
        <w:rPr>
          <w:rStyle w:val="FootnoteReference"/>
        </w:rPr>
        <w:footnoteReference w:id="4"/>
      </w:r>
    </w:p>
    <w:p w:rsidR="009F33AE" w:rsidRDefault="009F33AE" w:rsidP="009F33AE">
      <w:pPr>
        <w:jc w:val="both"/>
      </w:pPr>
    </w:p>
    <w:p w:rsidR="009F33AE" w:rsidRDefault="009F33AE" w:rsidP="009F33AE">
      <w:pPr>
        <w:numPr>
          <w:ilvl w:val="0"/>
          <w:numId w:val="1"/>
        </w:numPr>
        <w:jc w:val="both"/>
      </w:pPr>
      <w:r>
        <w:t>Religious individuals who run a business, such as wedding photograp</w:t>
      </w:r>
      <w:r>
        <w:t>h</w:t>
      </w:r>
      <w:r>
        <w:t>ers, florists, banquet halls, or bed and breakfasts, can be sued under pu</w:t>
      </w:r>
      <w:r>
        <w:t>b</w:t>
      </w:r>
      <w:r>
        <w:t>lic accommodations laws for refusing to offer their services in conne</w:t>
      </w:r>
      <w:r>
        <w:t>c</w:t>
      </w:r>
      <w:r>
        <w:t>tion with a same-sex marriage ceremony.</w:t>
      </w:r>
      <w:r>
        <w:rPr>
          <w:rStyle w:val="FootnoteReference"/>
        </w:rPr>
        <w:footnoteReference w:id="5"/>
      </w:r>
    </w:p>
    <w:p w:rsidR="009F33AE" w:rsidRDefault="009F33AE" w:rsidP="009F33AE">
      <w:pPr>
        <w:pStyle w:val="ListParagraph"/>
      </w:pPr>
    </w:p>
    <w:p w:rsidR="009F33AE" w:rsidRDefault="009F33AE" w:rsidP="009F33AE">
      <w:pPr>
        <w:numPr>
          <w:ilvl w:val="0"/>
          <w:numId w:val="1"/>
        </w:numPr>
        <w:jc w:val="both"/>
      </w:pPr>
      <w:r>
        <w:t>Religious camps, day cares, retreat centers, counseling centers, or ado</w:t>
      </w:r>
      <w:r>
        <w:t>p</w:t>
      </w:r>
      <w:r>
        <w:t>tion agencies can be sued under public accommodations laws for refu</w:t>
      </w:r>
      <w:r>
        <w:t>s</w:t>
      </w:r>
      <w:r>
        <w:t>ing to offer their services to members of a same-sex marriage.</w:t>
      </w:r>
      <w:r>
        <w:rPr>
          <w:rStyle w:val="FootnoteReference"/>
        </w:rPr>
        <w:footnoteReference w:id="6"/>
      </w:r>
    </w:p>
    <w:p w:rsidR="009F33AE" w:rsidRDefault="009F33AE" w:rsidP="009F33AE">
      <w:pPr>
        <w:jc w:val="both"/>
      </w:pPr>
    </w:p>
    <w:p w:rsidR="009F33AE" w:rsidRDefault="009F33AE" w:rsidP="009F33AE">
      <w:pPr>
        <w:numPr>
          <w:ilvl w:val="0"/>
          <w:numId w:val="1"/>
        </w:numPr>
        <w:jc w:val="both"/>
      </w:pPr>
      <w:r>
        <w:lastRenderedPageBreak/>
        <w:t>A church or religious non-profit that fires an employee, such as an o</w:t>
      </w:r>
      <w:r>
        <w:t>r</w:t>
      </w:r>
      <w:r>
        <w:t>ganist or secretary, for entering a same-sex marriage can be sued under employment discrimination laws that prohibit discrimination on the basis of marital status.</w:t>
      </w:r>
      <w:r>
        <w:rPr>
          <w:rStyle w:val="FootnoteReference"/>
        </w:rPr>
        <w:footnoteReference w:id="7"/>
      </w:r>
    </w:p>
    <w:p w:rsidR="009F33AE" w:rsidRDefault="009F33AE" w:rsidP="009F33AE">
      <w:pPr>
        <w:jc w:val="both"/>
      </w:pPr>
    </w:p>
    <w:p w:rsidR="009F33AE" w:rsidRDefault="009F33AE" w:rsidP="009F33AE">
      <w:pPr>
        <w:ind w:firstLine="720"/>
        <w:jc w:val="both"/>
      </w:pPr>
      <w:r>
        <w:t>Second, religious organizations and individuals (or the small businesses that they own) that conscientiously object to same-sex marriage will be labeled as unlawful “discriminators” under state law and thus face a range of penalties at the hands of state agencies and local governments, such as the withdrawal of government benefits or e</w:t>
      </w:r>
      <w:r>
        <w:t>x</w:t>
      </w:r>
      <w:r>
        <w:t>clusion from government facilities.  For example:</w:t>
      </w:r>
    </w:p>
    <w:p w:rsidR="009F33AE" w:rsidRDefault="009F33AE" w:rsidP="009F33AE">
      <w:pPr>
        <w:jc w:val="both"/>
      </w:pPr>
    </w:p>
    <w:p w:rsidR="009F33AE" w:rsidRDefault="009F33AE" w:rsidP="009F33AE">
      <w:pPr>
        <w:numPr>
          <w:ilvl w:val="0"/>
          <w:numId w:val="1"/>
        </w:numPr>
        <w:jc w:val="both"/>
      </w:pPr>
      <w:r>
        <w:t>A religious university, hospital, or social service organization that refu</w:t>
      </w:r>
      <w:r>
        <w:t>s</w:t>
      </w:r>
      <w:r>
        <w:t>es to provide</w:t>
      </w:r>
      <w:r w:rsidR="00FF5FA4">
        <w:t xml:space="preserve"> its employees with</w:t>
      </w:r>
      <w:r>
        <w:t xml:space="preserve"> same-sex spousal benefits can be denied access to government contracts or grants on the ground that it is engaged in discrimination that contravenes public policy.</w:t>
      </w:r>
      <w:r>
        <w:rPr>
          <w:rStyle w:val="FootnoteReference"/>
        </w:rPr>
        <w:footnoteReference w:id="8"/>
      </w:r>
    </w:p>
    <w:p w:rsidR="009F33AE" w:rsidRDefault="009F33AE" w:rsidP="009F33AE">
      <w:pPr>
        <w:jc w:val="both"/>
      </w:pPr>
    </w:p>
    <w:p w:rsidR="009F33AE" w:rsidRDefault="009F33AE" w:rsidP="009F33AE">
      <w:pPr>
        <w:numPr>
          <w:ilvl w:val="0"/>
          <w:numId w:val="1"/>
        </w:numPr>
        <w:jc w:val="both"/>
      </w:pPr>
      <w:r>
        <w:t>A religious charity or fraternal organization that opposes same-sex ma</w:t>
      </w:r>
      <w:r>
        <w:t>r</w:t>
      </w:r>
      <w:r>
        <w:t>riage can be denied access to government facilities, such as a lease on government property or participation in a government-sponsored chari</w:t>
      </w:r>
      <w:r>
        <w:t>t</w:t>
      </w:r>
      <w:r>
        <w:t>able campaign.</w:t>
      </w:r>
      <w:r>
        <w:rPr>
          <w:rStyle w:val="FootnoteReference"/>
        </w:rPr>
        <w:footnoteReference w:id="9"/>
      </w:r>
    </w:p>
    <w:p w:rsidR="009F33AE" w:rsidRDefault="009F33AE" w:rsidP="009F33AE">
      <w:pPr>
        <w:jc w:val="both"/>
      </w:pPr>
    </w:p>
    <w:p w:rsidR="009F33AE" w:rsidRDefault="009F33AE" w:rsidP="009F33AE">
      <w:pPr>
        <w:numPr>
          <w:ilvl w:val="0"/>
          <w:numId w:val="1"/>
        </w:numPr>
        <w:jc w:val="both"/>
      </w:pPr>
      <w:r>
        <w:t>Doctors, psychologists, social workers, counselors and other professio</w:t>
      </w:r>
      <w:r>
        <w:t>n</w:t>
      </w:r>
      <w:r>
        <w:t>als who conscientiously object to same-sex marriage can have their l</w:t>
      </w:r>
      <w:r>
        <w:t>i</w:t>
      </w:r>
      <w:r>
        <w:t>censes revoked.</w:t>
      </w:r>
      <w:r>
        <w:rPr>
          <w:rStyle w:val="FootnoteReference"/>
        </w:rPr>
        <w:footnoteReference w:id="10"/>
      </w:r>
    </w:p>
    <w:p w:rsidR="009F33AE" w:rsidRDefault="009F33AE" w:rsidP="009F33AE">
      <w:pPr>
        <w:jc w:val="both"/>
      </w:pPr>
    </w:p>
    <w:p w:rsidR="009F33AE" w:rsidRDefault="009F33AE" w:rsidP="009F33AE">
      <w:pPr>
        <w:numPr>
          <w:ilvl w:val="0"/>
          <w:numId w:val="1"/>
        </w:numPr>
        <w:jc w:val="both"/>
      </w:pPr>
      <w:r>
        <w:t>Religious fraternal organizations or non-profits that object to same-sex marriage can be denied food service licenses, child-care licenses, or li</w:t>
      </w:r>
      <w:r>
        <w:t>q</w:t>
      </w:r>
      <w:r>
        <w:t>uor licenses on the ground that they are engaged in unlawful discrimin</w:t>
      </w:r>
      <w:r>
        <w:t>a</w:t>
      </w:r>
      <w:r>
        <w:t>tion.</w:t>
      </w:r>
      <w:r>
        <w:rPr>
          <w:rStyle w:val="FootnoteReference"/>
        </w:rPr>
        <w:footnoteReference w:id="11"/>
      </w:r>
    </w:p>
    <w:p w:rsidR="009F33AE" w:rsidRDefault="009F33AE" w:rsidP="009F33AE">
      <w:pPr>
        <w:jc w:val="both"/>
      </w:pPr>
    </w:p>
    <w:p w:rsidR="009F33AE" w:rsidRDefault="009F33AE" w:rsidP="009F33AE">
      <w:pPr>
        <w:numPr>
          <w:ilvl w:val="0"/>
          <w:numId w:val="1"/>
        </w:numPr>
        <w:jc w:val="both"/>
      </w:pPr>
      <w:r>
        <w:t>Religious universities or professional schools can have their accredit</w:t>
      </w:r>
      <w:r>
        <w:t>a</w:t>
      </w:r>
      <w:r>
        <w:t>tion revoked for refusing to recognize the validity of same-sex marria</w:t>
      </w:r>
      <w:r>
        <w:t>g</w:t>
      </w:r>
      <w:r>
        <w:t>es.</w:t>
      </w:r>
      <w:r>
        <w:rPr>
          <w:rStyle w:val="FootnoteReference"/>
        </w:rPr>
        <w:footnoteReference w:id="12"/>
      </w:r>
    </w:p>
    <w:p w:rsidR="009F33AE" w:rsidRDefault="009F33AE" w:rsidP="009F33AE">
      <w:pPr>
        <w:ind w:left="1440"/>
        <w:jc w:val="both"/>
      </w:pPr>
    </w:p>
    <w:p w:rsidR="009F33AE" w:rsidRDefault="009F33AE" w:rsidP="009F33AE">
      <w:pPr>
        <w:numPr>
          <w:ilvl w:val="0"/>
          <w:numId w:val="1"/>
        </w:numPr>
        <w:jc w:val="both"/>
      </w:pPr>
      <w:r>
        <w:t>Church-affiliated organizations can have their tax exempt status stripped because of their conscientious objections to same-sex marriage.</w:t>
      </w:r>
      <w:r>
        <w:rPr>
          <w:rStyle w:val="FootnoteReference"/>
        </w:rPr>
        <w:footnoteReference w:id="13"/>
      </w:r>
    </w:p>
    <w:p w:rsidR="009F33AE" w:rsidRDefault="009F33AE" w:rsidP="009F33AE">
      <w:pPr>
        <w:ind w:firstLine="720"/>
        <w:jc w:val="both"/>
      </w:pPr>
    </w:p>
    <w:p w:rsidR="009F33AE" w:rsidRDefault="009F33AE" w:rsidP="009F33AE">
      <w:pPr>
        <w:ind w:firstLine="720"/>
        <w:jc w:val="both"/>
      </w:pPr>
      <w:bookmarkStart w:id="0" w:name="OLE_LINK1"/>
      <w:bookmarkStart w:id="1" w:name="OLE_LINK2"/>
      <w:r>
        <w:t>All of these conflicts either did not exist before, or will be significantly intens</w:t>
      </w:r>
      <w:r>
        <w:t>i</w:t>
      </w:r>
      <w:r>
        <w:t xml:space="preserve">fied after, the legalization of same-sex marriage.  It is, of course, impossible to predict the outcome of future litigation over these conflicts, and religious liberty advocates will litigate these claims vigorously under any protections available under state and federal </w:t>
      </w:r>
      <w:r>
        <w:lastRenderedPageBreak/>
        <w:t>law.  At a minimum, however, the volume of new litigation will be immense.  And rel</w:t>
      </w:r>
      <w:r>
        <w:t>i</w:t>
      </w:r>
      <w:r>
        <w:t>gious liberty advocates can also be expected to sue state and local governments for i</w:t>
      </w:r>
      <w:r>
        <w:t>m</w:t>
      </w:r>
      <w:r>
        <w:t>plementing, or even considering implementing, policies that harm conscientious obje</w:t>
      </w:r>
      <w:r>
        <w:t>c</w:t>
      </w:r>
      <w:r>
        <w:t xml:space="preserve">tors.  Thus, two things are certain: </w:t>
      </w:r>
      <w:r w:rsidR="00490D3C" w:rsidRPr="00BD38EB">
        <w:t>A07732 and S04401</w:t>
      </w:r>
      <w:r>
        <w:t>, in</w:t>
      </w:r>
      <w:r w:rsidR="00490D3C">
        <w:t xml:space="preserve"> their </w:t>
      </w:r>
      <w:r>
        <w:t>current form, will have numerous unintended and detrimental effects on religious organizations and individuals.</w:t>
      </w:r>
      <w:bookmarkEnd w:id="0"/>
      <w:bookmarkEnd w:id="1"/>
      <w:r>
        <w:t xml:space="preserve">  And </w:t>
      </w:r>
      <w:r w:rsidR="00BB4307">
        <w:t xml:space="preserve">they </w:t>
      </w:r>
      <w:r w:rsidRPr="002B0E30">
        <w:t>will spawn years of costly litigation, not only for religious organizations and individuals, but for small businesses own</w:t>
      </w:r>
      <w:r>
        <w:t xml:space="preserve">ed by conscientious objectors </w:t>
      </w:r>
      <w:r w:rsidRPr="002B0E30">
        <w:t>across the state.</w:t>
      </w:r>
      <w:r>
        <w:t xml:space="preserve"> </w:t>
      </w:r>
    </w:p>
    <w:p w:rsidR="009F33AE" w:rsidRDefault="009F33AE" w:rsidP="009F33AE">
      <w:pPr>
        <w:jc w:val="both"/>
      </w:pPr>
    </w:p>
    <w:p w:rsidR="00207413" w:rsidRPr="00221219" w:rsidRDefault="00207413" w:rsidP="00207413">
      <w:pPr>
        <w:jc w:val="center"/>
        <w:rPr>
          <w:b/>
          <w:u w:val="single"/>
        </w:rPr>
      </w:pPr>
      <w:r w:rsidRPr="00221219">
        <w:rPr>
          <w:b/>
          <w:u w:val="single"/>
        </w:rPr>
        <w:t xml:space="preserve">Inadequacy of the </w:t>
      </w:r>
      <w:r w:rsidR="00A24C28">
        <w:rPr>
          <w:b/>
          <w:u w:val="single"/>
        </w:rPr>
        <w:t>c</w:t>
      </w:r>
      <w:r w:rsidRPr="00221219">
        <w:rPr>
          <w:b/>
          <w:u w:val="single"/>
        </w:rPr>
        <w:t xml:space="preserve">urrent </w:t>
      </w:r>
      <w:r w:rsidR="00A24C28">
        <w:rPr>
          <w:b/>
          <w:u w:val="single"/>
        </w:rPr>
        <w:t>l</w:t>
      </w:r>
      <w:r w:rsidRPr="00221219">
        <w:rPr>
          <w:b/>
          <w:u w:val="single"/>
        </w:rPr>
        <w:t>anguage</w:t>
      </w:r>
    </w:p>
    <w:p w:rsidR="00207413" w:rsidRPr="00221219" w:rsidRDefault="00207413" w:rsidP="00207413">
      <w:pPr>
        <w:ind w:firstLine="720"/>
        <w:jc w:val="both"/>
      </w:pPr>
    </w:p>
    <w:p w:rsidR="00207413" w:rsidRDefault="00C165EF" w:rsidP="00207413">
      <w:pPr>
        <w:ind w:firstLine="720"/>
        <w:jc w:val="both"/>
      </w:pPr>
      <w:r>
        <w:t>S</w:t>
      </w:r>
      <w:r w:rsidR="00207413" w:rsidRPr="00C165EF">
        <w:t>ome may argue that A07732 and S04401 provide sufficient protection for rel</w:t>
      </w:r>
      <w:r w:rsidR="00207413" w:rsidRPr="00C165EF">
        <w:t>i</w:t>
      </w:r>
      <w:r w:rsidR="00207413" w:rsidRPr="00C165EF">
        <w:t xml:space="preserve">gious conscience because </w:t>
      </w:r>
      <w:r w:rsidR="00A24C28">
        <w:t>Section 4 of the bill</w:t>
      </w:r>
      <w:r w:rsidR="00A14C43">
        <w:t>s</w:t>
      </w:r>
      <w:r w:rsidR="00A24C28">
        <w:t xml:space="preserve"> s</w:t>
      </w:r>
      <w:r w:rsidR="00207413" w:rsidRPr="00C165EF">
        <w:t>tate</w:t>
      </w:r>
      <w:r w:rsidR="00A24C28">
        <w:t>s</w:t>
      </w:r>
      <w:r w:rsidR="00207413" w:rsidRPr="00C165EF">
        <w:t xml:space="preserve"> </w:t>
      </w:r>
      <w:r w:rsidR="00DA10DB" w:rsidRPr="00C165EF">
        <w:t>“no clergyman, minister or society for ethical culture leader shall be required to solemnize any marriage.”</w:t>
      </w:r>
      <w:r w:rsidR="00207413" w:rsidRPr="00221219">
        <w:rPr>
          <w:rStyle w:val="FootnoteReference"/>
        </w:rPr>
        <w:footnoteReference w:id="14"/>
      </w:r>
      <w:r w:rsidR="00207413" w:rsidRPr="00221219">
        <w:t xml:space="preserve">  </w:t>
      </w:r>
      <w:r w:rsidR="00207413">
        <w:t>In other words, no clergy member can be forced to officiate at a same-sex marriage.</w:t>
      </w:r>
    </w:p>
    <w:p w:rsidR="007617F4" w:rsidRDefault="007617F4" w:rsidP="00207413">
      <w:pPr>
        <w:ind w:firstLine="720"/>
        <w:jc w:val="both"/>
      </w:pPr>
    </w:p>
    <w:p w:rsidR="00207413" w:rsidRDefault="00207413" w:rsidP="00207413">
      <w:pPr>
        <w:ind w:firstLine="720"/>
        <w:jc w:val="both"/>
      </w:pPr>
      <w:r w:rsidRPr="00221219">
        <w:t>But with or without Section 4, “[n]o one seriously believes that clergy will be forced, or even asked, to perform marriages that are anathema to them.”</w:t>
      </w:r>
      <w:r w:rsidRPr="00221219">
        <w:rPr>
          <w:rStyle w:val="FootnoteReference"/>
        </w:rPr>
        <w:footnoteReference w:id="15"/>
      </w:r>
      <w:r w:rsidRPr="00221219">
        <w:t xml:space="preserve">  Such blatant interference with the internal operations of a church would clearly violate the First Amendment.  </w:t>
      </w:r>
      <w:r>
        <w:t>Section 4, then—along with t</w:t>
      </w:r>
      <w:r w:rsidRPr="00221219">
        <w:t xml:space="preserve">he issue of “forced </w:t>
      </w:r>
      <w:r>
        <w:t>officiating</w:t>
      </w:r>
      <w:r w:rsidRPr="00221219">
        <w:t>”</w:t>
      </w:r>
      <w:r>
        <w:t xml:space="preserve"> that it a</w:t>
      </w:r>
      <w:r>
        <w:t>d</w:t>
      </w:r>
      <w:r>
        <w:t>dresses—</w:t>
      </w:r>
      <w:r w:rsidRPr="00221219">
        <w:t xml:space="preserve">is </w:t>
      </w:r>
      <w:r>
        <w:t xml:space="preserve">completely unnecessary.  It is merely </w:t>
      </w:r>
      <w:r w:rsidRPr="00221219">
        <w:t xml:space="preserve">a distraction from the real issues of religious liberty that the </w:t>
      </w:r>
      <w:r w:rsidR="004139E4">
        <w:t>legislature</w:t>
      </w:r>
      <w:r w:rsidRPr="00221219">
        <w:t xml:space="preserve"> should address.</w:t>
      </w:r>
    </w:p>
    <w:p w:rsidR="009F33AE" w:rsidRDefault="009F33AE" w:rsidP="007617F4">
      <w:pPr>
        <w:jc w:val="both"/>
      </w:pPr>
    </w:p>
    <w:p w:rsidR="001442D8" w:rsidRPr="00E6438A" w:rsidRDefault="007B38C0" w:rsidP="001442D8">
      <w:pPr>
        <w:jc w:val="center"/>
        <w:rPr>
          <w:b/>
          <w:u w:val="single"/>
        </w:rPr>
      </w:pPr>
      <w:r>
        <w:rPr>
          <w:b/>
          <w:u w:val="single"/>
        </w:rPr>
        <w:t>Precedent for providing religious accommodations</w:t>
      </w:r>
    </w:p>
    <w:p w:rsidR="001442D8" w:rsidRDefault="001442D8" w:rsidP="009F33AE">
      <w:pPr>
        <w:ind w:firstLine="720"/>
        <w:jc w:val="both"/>
      </w:pPr>
    </w:p>
    <w:p w:rsidR="00C63B9C" w:rsidRDefault="00C63B9C" w:rsidP="00C63B9C">
      <w:pPr>
        <w:ind w:firstLine="720"/>
        <w:jc w:val="both"/>
      </w:pPr>
      <w:r>
        <w:t>This wave of conflict between same-sex marriage and religious liberty is avoi</w:t>
      </w:r>
      <w:r>
        <w:t>d</w:t>
      </w:r>
      <w:r>
        <w:t>able.</w:t>
      </w:r>
      <w:r>
        <w:rPr>
          <w:rStyle w:val="FootnoteReference"/>
        </w:rPr>
        <w:footnoteReference w:id="16"/>
      </w:r>
      <w:r>
        <w:t xml:space="preserve">  But it is avoidable </w:t>
      </w:r>
      <w:r w:rsidRPr="006B185B">
        <w:t>only</w:t>
      </w:r>
      <w:r>
        <w:t xml:space="preserve"> if the </w:t>
      </w:r>
      <w:r w:rsidR="00512A82" w:rsidRPr="00512A82">
        <w:t>Legislature</w:t>
      </w:r>
      <w:r w:rsidR="00ED0E44">
        <w:t xml:space="preserve"> </w:t>
      </w:r>
      <w:r>
        <w:t>takes the time and effort required to craft the “robust religious-conscience exceptions” to same-sex marriage that leading voices on both sides of the public debate over same-sex marriage have called for.</w:t>
      </w:r>
      <w:r>
        <w:rPr>
          <w:rStyle w:val="FootnoteReference"/>
        </w:rPr>
        <w:footnoteReference w:id="17"/>
      </w:r>
      <w:r>
        <w:t xml:space="preserve"> </w:t>
      </w:r>
    </w:p>
    <w:p w:rsidR="00C63B9C" w:rsidRDefault="00C63B9C" w:rsidP="009F33AE">
      <w:pPr>
        <w:ind w:firstLine="720"/>
        <w:jc w:val="both"/>
      </w:pPr>
    </w:p>
    <w:p w:rsidR="007903D1" w:rsidRDefault="00692D78" w:rsidP="007903D1">
      <w:pPr>
        <w:ind w:firstLine="720"/>
        <w:jc w:val="both"/>
      </w:pPr>
      <w:smartTag w:uri="urn:schemas-microsoft-com:office:smarttags" w:element="State">
        <w:smartTag w:uri="urn:schemas-microsoft-com:office:smarttags" w:element="place">
          <w:r>
            <w:t>New York</w:t>
          </w:r>
        </w:smartTag>
      </w:smartTag>
      <w:r>
        <w:t xml:space="preserve"> </w:t>
      </w:r>
      <w:r w:rsidR="001D5303">
        <w:t>would not be breaking any new ground by providing religious a</w:t>
      </w:r>
      <w:r w:rsidR="001D5303">
        <w:t>c</w:t>
      </w:r>
      <w:r w:rsidR="001D5303">
        <w:t>commodations.  Other states have already provided religious</w:t>
      </w:r>
      <w:r w:rsidR="007B38C0">
        <w:t xml:space="preserve"> </w:t>
      </w:r>
      <w:r w:rsidR="001D5303">
        <w:t xml:space="preserve">accommodations </w:t>
      </w:r>
      <w:r w:rsidR="007B38C0">
        <w:t xml:space="preserve">in </w:t>
      </w:r>
      <w:r w:rsidR="001D5303">
        <w:t xml:space="preserve">their </w:t>
      </w:r>
      <w:r w:rsidR="007B38C0">
        <w:t>same-sex marriage legislation.</w:t>
      </w:r>
      <w:r w:rsidR="002124C8">
        <w:rPr>
          <w:rStyle w:val="FootnoteReference"/>
        </w:rPr>
        <w:footnoteReference w:id="18"/>
      </w:r>
      <w:r w:rsidR="007B38C0">
        <w:t xml:space="preserve">  </w:t>
      </w:r>
      <w:r w:rsidR="007903D1" w:rsidRPr="00221219">
        <w:t xml:space="preserve">In </w:t>
      </w:r>
      <w:smartTag w:uri="urn:schemas-microsoft-com:office:smarttags" w:element="State">
        <w:smartTag w:uri="urn:schemas-microsoft-com:office:smarttags" w:element="place">
          <w:r w:rsidR="007903D1" w:rsidRPr="00221219">
            <w:t>Vermont</w:t>
          </w:r>
        </w:smartTag>
      </w:smartTag>
      <w:r w:rsidR="007903D1" w:rsidRPr="00221219">
        <w:t xml:space="preserve">, for example, </w:t>
      </w:r>
      <w:r w:rsidR="001D5303">
        <w:t xml:space="preserve">the same sex marriage bill </w:t>
      </w:r>
      <w:r w:rsidR="001D5303">
        <w:lastRenderedPageBreak/>
        <w:t xml:space="preserve">includes </w:t>
      </w:r>
      <w:r w:rsidR="007903D1">
        <w:t>protections for religious organizations that refuse to provide “services, a</w:t>
      </w:r>
      <w:r w:rsidR="007903D1">
        <w:t>c</w:t>
      </w:r>
      <w:r w:rsidR="007903D1">
        <w:t>commodations, advantages, facilities, goods, or privileges” related to the solemnization or celebration of a marriage.</w:t>
      </w:r>
      <w:r w:rsidR="007903D1" w:rsidRPr="00221219">
        <w:rPr>
          <w:rStyle w:val="FootnoteReference"/>
        </w:rPr>
        <w:footnoteReference w:id="19"/>
      </w:r>
      <w:r w:rsidR="00664A0F" w:rsidRPr="00664A0F">
        <w:rPr>
          <w:rStyle w:val="text"/>
        </w:rPr>
        <w:t xml:space="preserve">  </w:t>
      </w:r>
      <w:r w:rsidR="00664A0F">
        <w:t>And i</w:t>
      </w:r>
      <w:r w:rsidR="001D5303">
        <w:t xml:space="preserve">n </w:t>
      </w:r>
      <w:smartTag w:uri="urn:schemas-microsoft-com:office:smarttags" w:element="place">
        <w:smartTag w:uri="urn:schemas-microsoft-com:office:smarttags" w:element="State">
          <w:r w:rsidR="001D5303">
            <w:t>Connecticut</w:t>
          </w:r>
        </w:smartTag>
      </w:smartTag>
      <w:r w:rsidR="001D5303">
        <w:t xml:space="preserve">, the same-sex marriage bill includes </w:t>
      </w:r>
      <w:r w:rsidR="007903D1">
        <w:t>protection from “state action to penalize or withhold benefits” from religious organiz</w:t>
      </w:r>
      <w:r w:rsidR="007903D1">
        <w:t>a</w:t>
      </w:r>
      <w:r w:rsidR="007903D1">
        <w:t>tions,</w:t>
      </w:r>
      <w:r w:rsidR="007903D1">
        <w:rPr>
          <w:rStyle w:val="FootnoteReference"/>
        </w:rPr>
        <w:footnoteReference w:id="20"/>
      </w:r>
      <w:r w:rsidR="007903D1">
        <w:t xml:space="preserve"> and protections for religious organizations that provide “adoption, foster care or social services.”</w:t>
      </w:r>
      <w:r w:rsidR="007903D1" w:rsidRPr="00221219">
        <w:rPr>
          <w:rStyle w:val="FootnoteReference"/>
        </w:rPr>
        <w:footnoteReference w:id="21"/>
      </w:r>
      <w:r w:rsidR="007903D1" w:rsidRPr="00221219">
        <w:t xml:space="preserve"> </w:t>
      </w:r>
      <w:r w:rsidR="002124C8">
        <w:t xml:space="preserve"> </w:t>
      </w:r>
      <w:r w:rsidR="007903D1">
        <w:t xml:space="preserve"> </w:t>
      </w:r>
    </w:p>
    <w:p w:rsidR="007903D1" w:rsidRDefault="007903D1" w:rsidP="007903D1">
      <w:pPr>
        <w:ind w:firstLine="720"/>
        <w:jc w:val="both"/>
      </w:pPr>
    </w:p>
    <w:p w:rsidR="007903D1" w:rsidRDefault="007903D1" w:rsidP="007903D1">
      <w:pPr>
        <w:pStyle w:val="PlainText"/>
        <w:ind w:firstLine="720"/>
        <w:jc w:val="both"/>
        <w:rPr>
          <w:rFonts w:ascii="Times New Roman" w:hAnsi="Times New Roman"/>
          <w:sz w:val="24"/>
          <w:szCs w:val="24"/>
        </w:rPr>
      </w:pPr>
      <w:r>
        <w:rPr>
          <w:rFonts w:ascii="Times New Roman" w:hAnsi="Times New Roman"/>
          <w:sz w:val="24"/>
          <w:szCs w:val="24"/>
        </w:rPr>
        <w:t xml:space="preserve">Although </w:t>
      </w:r>
      <w:r w:rsidR="00B2039D">
        <w:rPr>
          <w:rFonts w:ascii="Times New Roman" w:hAnsi="Times New Roman"/>
          <w:sz w:val="24"/>
          <w:szCs w:val="24"/>
        </w:rPr>
        <w:t xml:space="preserve">these </w:t>
      </w:r>
      <w:r w:rsidR="007360B0">
        <w:rPr>
          <w:rFonts w:ascii="Times New Roman" w:hAnsi="Times New Roman"/>
          <w:sz w:val="24"/>
          <w:szCs w:val="24"/>
        </w:rPr>
        <w:t xml:space="preserve">state </w:t>
      </w:r>
      <w:r>
        <w:rPr>
          <w:rFonts w:ascii="Times New Roman" w:hAnsi="Times New Roman"/>
          <w:sz w:val="24"/>
          <w:szCs w:val="24"/>
        </w:rPr>
        <w:t>protections are important, they leave out a number of the foreseeable collisions between same-sex marriage and religious liberty described above.  In Connecticut, for example, a Catholic university that offers married-student housing would have to offer housing to married same-sex couples or risk violating state law.  Similarly—and sadly—n</w:t>
      </w:r>
      <w:r w:rsidR="007360B0">
        <w:rPr>
          <w:rFonts w:ascii="Times New Roman" w:hAnsi="Times New Roman"/>
          <w:sz w:val="24"/>
          <w:szCs w:val="24"/>
        </w:rPr>
        <w:t xml:space="preserve">one of these states </w:t>
      </w:r>
      <w:r>
        <w:rPr>
          <w:rFonts w:ascii="Times New Roman" w:hAnsi="Times New Roman"/>
          <w:sz w:val="24"/>
          <w:szCs w:val="24"/>
        </w:rPr>
        <w:t>protects individuals or small busines</w:t>
      </w:r>
      <w:r>
        <w:rPr>
          <w:rFonts w:ascii="Times New Roman" w:hAnsi="Times New Roman"/>
          <w:sz w:val="24"/>
          <w:szCs w:val="24"/>
        </w:rPr>
        <w:t>s</w:t>
      </w:r>
      <w:r>
        <w:rPr>
          <w:rFonts w:ascii="Times New Roman" w:hAnsi="Times New Roman"/>
          <w:sz w:val="24"/>
          <w:szCs w:val="24"/>
        </w:rPr>
        <w:t>es.  So, for example, wedding advisors, photographers, bakers, and caterers who prefer to step aside from same-sex ceremonies for religious reasons receive no protection.  D</w:t>
      </w:r>
      <w:r>
        <w:rPr>
          <w:rFonts w:ascii="Times New Roman" w:hAnsi="Times New Roman"/>
          <w:sz w:val="24"/>
          <w:szCs w:val="24"/>
        </w:rPr>
        <w:t>e</w:t>
      </w:r>
      <w:r>
        <w:rPr>
          <w:rFonts w:ascii="Times New Roman" w:hAnsi="Times New Roman"/>
          <w:sz w:val="24"/>
          <w:szCs w:val="24"/>
        </w:rPr>
        <w:t>spite these shortcomings, however, the fact that Vermont</w:t>
      </w:r>
      <w:r w:rsidR="00124DCD">
        <w:rPr>
          <w:rFonts w:ascii="Times New Roman" w:hAnsi="Times New Roman"/>
          <w:sz w:val="24"/>
          <w:szCs w:val="24"/>
        </w:rPr>
        <w:t xml:space="preserve">, Maine </w:t>
      </w:r>
      <w:r>
        <w:rPr>
          <w:rFonts w:ascii="Times New Roman" w:hAnsi="Times New Roman"/>
          <w:sz w:val="24"/>
          <w:szCs w:val="24"/>
        </w:rPr>
        <w:t>and Connecticut adopted conscience protections in their same-sex marriage bills confirms an important principle:  the conflicts between same-sex marriage and religious liberty are real, and they deserve legislative attention.</w:t>
      </w:r>
    </w:p>
    <w:p w:rsidR="007903D1" w:rsidRDefault="007903D1" w:rsidP="007903D1">
      <w:pPr>
        <w:ind w:firstLine="720"/>
        <w:jc w:val="both"/>
      </w:pPr>
    </w:p>
    <w:p w:rsidR="001D5303" w:rsidRPr="00221219" w:rsidRDefault="00F90768" w:rsidP="001D5303">
      <w:pPr>
        <w:ind w:firstLine="720"/>
        <w:jc w:val="both"/>
      </w:pPr>
      <w:smartTag w:uri="urn:schemas-microsoft-com:office:smarttags" w:element="State">
        <w:smartTag w:uri="urn:schemas-microsoft-com:office:smarttags" w:element="place">
          <w:r>
            <w:t>New York</w:t>
          </w:r>
        </w:smartTag>
      </w:smartTag>
      <w:r>
        <w:t xml:space="preserve">’s </w:t>
      </w:r>
      <w:r w:rsidR="001D5303">
        <w:t>existing laws provide additional precedent for religious accomm</w:t>
      </w:r>
      <w:r w:rsidR="001D5303">
        <w:t>o</w:t>
      </w:r>
      <w:r w:rsidR="001D5303">
        <w:t xml:space="preserve">dations.  For example, </w:t>
      </w:r>
      <w:smartTag w:uri="urn:schemas-microsoft-com:office:smarttags" w:element="State">
        <w:smartTag w:uri="urn:schemas-microsoft-com:office:smarttags" w:element="place">
          <w:r w:rsidR="000F14E1">
            <w:t>New York</w:t>
          </w:r>
        </w:smartTag>
      </w:smartTag>
      <w:r w:rsidR="000F14E1">
        <w:t xml:space="preserve">’s Human Rights Law </w:t>
      </w:r>
      <w:r w:rsidR="001D5303">
        <w:t>contain</w:t>
      </w:r>
      <w:r w:rsidR="000F14E1">
        <w:t>s</w:t>
      </w:r>
      <w:r w:rsidR="001D5303">
        <w:t xml:space="preserve"> important accommod</w:t>
      </w:r>
      <w:r w:rsidR="001D5303">
        <w:t>a</w:t>
      </w:r>
      <w:r w:rsidR="001D5303">
        <w:t>tions for certain religious organizations.</w:t>
      </w:r>
      <w:r w:rsidR="001D5303">
        <w:rPr>
          <w:rStyle w:val="FootnoteReference"/>
        </w:rPr>
        <w:footnoteReference w:id="22"/>
      </w:r>
      <w:r w:rsidR="001D5303">
        <w:t xml:space="preserve">  Similarly, f</w:t>
      </w:r>
      <w:r w:rsidR="001D5303" w:rsidRPr="00221219">
        <w:t>ederal statutes provide protections for religious and conscientious objectors in many different contexts.</w:t>
      </w:r>
      <w:r w:rsidR="001D5303" w:rsidRPr="00221219">
        <w:rPr>
          <w:rStyle w:val="FootnoteReference"/>
        </w:rPr>
        <w:footnoteReference w:id="23"/>
      </w:r>
      <w:r w:rsidR="001D5303" w:rsidRPr="00221219">
        <w:t xml:space="preserve">  </w:t>
      </w:r>
      <w:r w:rsidR="001D5303">
        <w:t>In short, p</w:t>
      </w:r>
      <w:r w:rsidR="001D5303" w:rsidRPr="00221219">
        <w:t>rotec</w:t>
      </w:r>
      <w:r w:rsidR="001D5303" w:rsidRPr="00221219">
        <w:t>t</w:t>
      </w:r>
      <w:r w:rsidR="001D5303" w:rsidRPr="00221219">
        <w:lastRenderedPageBreak/>
        <w:t xml:space="preserve">ing conscience is very much part of the American, and </w:t>
      </w:r>
      <w:smartTag w:uri="urn:schemas-microsoft-com:office:smarttags" w:element="State">
        <w:smartTag w:uri="urn:schemas-microsoft-com:office:smarttags" w:element="place">
          <w:r w:rsidR="00520029">
            <w:t>New York</w:t>
          </w:r>
        </w:smartTag>
      </w:smartTag>
      <w:r w:rsidR="001D5303" w:rsidRPr="00221219">
        <w:t xml:space="preserve">, tradition.  The </w:t>
      </w:r>
      <w:r w:rsidR="001D5303">
        <w:t>Legi</w:t>
      </w:r>
      <w:r w:rsidR="001D5303">
        <w:t>s</w:t>
      </w:r>
      <w:r w:rsidR="001D5303">
        <w:t xml:space="preserve">lature </w:t>
      </w:r>
      <w:r w:rsidR="001D5303" w:rsidRPr="00221219">
        <w:t xml:space="preserve">should make the effort to continue that tradition. </w:t>
      </w:r>
    </w:p>
    <w:p w:rsidR="00C62BC6" w:rsidRPr="00C62BC6" w:rsidRDefault="00C62BC6" w:rsidP="00AA48B3">
      <w:pPr>
        <w:jc w:val="both"/>
      </w:pPr>
    </w:p>
    <w:p w:rsidR="00202748" w:rsidRPr="00202748" w:rsidRDefault="00202748" w:rsidP="00202748">
      <w:pPr>
        <w:jc w:val="center"/>
        <w:rPr>
          <w:b/>
          <w:u w:val="single"/>
        </w:rPr>
      </w:pPr>
      <w:r w:rsidRPr="00202748">
        <w:rPr>
          <w:b/>
          <w:u w:val="single"/>
        </w:rPr>
        <w:t>Proposed conscience protection</w:t>
      </w:r>
    </w:p>
    <w:p w:rsidR="00202748" w:rsidRDefault="00202748" w:rsidP="009F33AE">
      <w:pPr>
        <w:ind w:firstLine="720"/>
        <w:jc w:val="both"/>
      </w:pPr>
    </w:p>
    <w:p w:rsidR="009F33AE" w:rsidRDefault="0088009F" w:rsidP="009F33AE">
      <w:pPr>
        <w:ind w:firstLine="720"/>
        <w:jc w:val="both"/>
      </w:pPr>
      <w:r>
        <w:t xml:space="preserve">Because </w:t>
      </w:r>
      <w:r w:rsidRPr="00C62BC6">
        <w:t xml:space="preserve">Section </w:t>
      </w:r>
      <w:r w:rsidR="00A318C6">
        <w:t xml:space="preserve">4 does not cover </w:t>
      </w:r>
      <w:r>
        <w:t>the conflicts listed above, s</w:t>
      </w:r>
      <w:r w:rsidRPr="00C62BC6">
        <w:t>tronger, more sp</w:t>
      </w:r>
      <w:r w:rsidRPr="00C62BC6">
        <w:t>e</w:t>
      </w:r>
      <w:r w:rsidRPr="00C62BC6">
        <w:t xml:space="preserve">cific </w:t>
      </w:r>
      <w:r>
        <w:t xml:space="preserve">protection is </w:t>
      </w:r>
      <w:r w:rsidRPr="00C62BC6">
        <w:t>needed.</w:t>
      </w:r>
      <w:r>
        <w:t xml:space="preserve">  </w:t>
      </w:r>
      <w:r w:rsidR="00EB7FEC">
        <w:t xml:space="preserve">New York </w:t>
      </w:r>
      <w:r w:rsidR="009F33AE">
        <w:t xml:space="preserve">can </w:t>
      </w:r>
      <w:r>
        <w:t xml:space="preserve">provide that protection </w:t>
      </w:r>
      <w:r w:rsidR="009F33AE">
        <w:t xml:space="preserve">by adopting a simple “marriage conscience protection” modeled on the existing </w:t>
      </w:r>
      <w:r>
        <w:t xml:space="preserve">language in </w:t>
      </w:r>
      <w:r w:rsidR="00EB7FEC">
        <w:t xml:space="preserve">New York‘s Human Rights Law.  </w:t>
      </w:r>
      <w:r w:rsidR="009F33AE">
        <w:t xml:space="preserve">The “marriage conscience protection” would provide </w:t>
      </w:r>
      <w:r w:rsidR="006308AF">
        <w:t>as follows</w:t>
      </w:r>
      <w:r w:rsidR="009F33AE">
        <w:t>:</w:t>
      </w:r>
    </w:p>
    <w:p w:rsidR="009F33AE" w:rsidRDefault="009F33AE" w:rsidP="009F33AE">
      <w:pPr>
        <w:ind w:firstLine="720"/>
        <w:jc w:val="both"/>
      </w:pPr>
    </w:p>
    <w:p w:rsidR="009F33AE" w:rsidRDefault="009F33AE" w:rsidP="006308AF">
      <w:pPr>
        <w:keepLines/>
        <w:autoSpaceDE w:val="0"/>
        <w:autoSpaceDN w:val="0"/>
        <w:adjustRightInd w:val="0"/>
        <w:ind w:left="720" w:right="576"/>
        <w:jc w:val="both"/>
      </w:pPr>
      <w:r w:rsidRPr="00DC4F4E">
        <w:t xml:space="preserve">No </w:t>
      </w:r>
      <w:r w:rsidR="00D45558" w:rsidRPr="00DC4F4E">
        <w:t>individual</w:t>
      </w:r>
      <w:r w:rsidR="00C62BC6" w:rsidRPr="00DC4F4E">
        <w:t xml:space="preserve">, </w:t>
      </w:r>
      <w:r w:rsidR="00DC4F4E" w:rsidRPr="00DC4F4E">
        <w:t xml:space="preserve">no </w:t>
      </w:r>
      <w:r w:rsidR="00DC4F4E" w:rsidRPr="00DC4F4E">
        <w:rPr>
          <w:rStyle w:val="documentbody"/>
        </w:rPr>
        <w:t xml:space="preserve">religious or denominational institution or organization, </w:t>
      </w:r>
      <w:r w:rsidR="00755CF3">
        <w:rPr>
          <w:rStyle w:val="documentbody"/>
        </w:rPr>
        <w:t xml:space="preserve">and no </w:t>
      </w:r>
      <w:r w:rsidR="00DC4F4E" w:rsidRPr="00DC4F4E">
        <w:rPr>
          <w:rStyle w:val="documentbody"/>
        </w:rPr>
        <w:t>organization operated for charitable or educational purposes, which is operated, supervised or controlled by or in connection with a religious organization</w:t>
      </w:r>
      <w:r w:rsidR="00E96722">
        <w:rPr>
          <w:rStyle w:val="documentbody"/>
        </w:rPr>
        <w:t>,</w:t>
      </w:r>
      <w:r w:rsidRPr="00DC4F4E">
        <w:t xml:space="preserve"> shall be penalized or denied benefits under the laws of this state or any </w:t>
      </w:r>
      <w:r>
        <w:t>subdivision of this state</w:t>
      </w:r>
      <w:r w:rsidRPr="00C064CA">
        <w:t>, including but not limited to laws r</w:t>
      </w:r>
      <w:r w:rsidRPr="00C064CA">
        <w:t>e</w:t>
      </w:r>
      <w:r w:rsidRPr="00C064CA">
        <w:t>garding employment discrimination, housing, public accommodations, l</w:t>
      </w:r>
      <w:r w:rsidRPr="00C064CA">
        <w:t>i</w:t>
      </w:r>
      <w:r w:rsidRPr="00C064CA">
        <w:t xml:space="preserve">censing, </w:t>
      </w:r>
      <w:r>
        <w:t xml:space="preserve">government grants or contracts, </w:t>
      </w:r>
      <w:r w:rsidRPr="00C064CA">
        <w:t xml:space="preserve">or tax-exempt status, </w:t>
      </w:r>
      <w:r w:rsidR="00EE13DB" w:rsidRPr="00EE13DB">
        <w:t>for refusing to provide services, accommodations, advantages, facilities, goods, or pr</w:t>
      </w:r>
      <w:r w:rsidR="00EE13DB" w:rsidRPr="00EE13DB">
        <w:t>i</w:t>
      </w:r>
      <w:r w:rsidR="00EE13DB" w:rsidRPr="00EE13DB">
        <w:t>vileges related to the solemnization of any marriage,</w:t>
      </w:r>
      <w:r w:rsidR="00EE13DB">
        <w:t xml:space="preserve"> </w:t>
      </w:r>
      <w:r w:rsidRPr="00C064CA">
        <w:t>for refusing to s</w:t>
      </w:r>
      <w:r w:rsidRPr="00C064CA">
        <w:t>o</w:t>
      </w:r>
      <w:r w:rsidRPr="00C064CA">
        <w:t>lemnize</w:t>
      </w:r>
      <w:r w:rsidR="00EE13DB">
        <w:t xml:space="preserve"> any marriage</w:t>
      </w:r>
      <w:r w:rsidRPr="00C064CA">
        <w:t xml:space="preserve">, or </w:t>
      </w:r>
      <w:r w:rsidR="00EE13DB">
        <w:t xml:space="preserve">for refusing to </w:t>
      </w:r>
      <w:r w:rsidRPr="00C064CA">
        <w:t xml:space="preserve">treat as valid any marriage, where </w:t>
      </w:r>
      <w:r w:rsidR="00EE13DB">
        <w:t xml:space="preserve">such providing, </w:t>
      </w:r>
      <w:r w:rsidRPr="00C064CA">
        <w:t xml:space="preserve">solemnizing, </w:t>
      </w:r>
      <w:r w:rsidR="00EE13DB">
        <w:t xml:space="preserve">or treating as valid </w:t>
      </w:r>
      <w:r w:rsidRPr="00C064CA">
        <w:t>would cause that indivi</w:t>
      </w:r>
      <w:r w:rsidRPr="00C064CA">
        <w:t>d</w:t>
      </w:r>
      <w:r w:rsidRPr="00C064CA">
        <w:t>ual</w:t>
      </w:r>
      <w:r w:rsidR="00C62BC6">
        <w:t>, corporation, association or organization</w:t>
      </w:r>
      <w:r w:rsidRPr="00C064CA">
        <w:t xml:space="preserve"> to violate their s</w:t>
      </w:r>
      <w:r w:rsidR="00311DBD">
        <w:t xml:space="preserve">incerely held religious beliefs, </w:t>
      </w:r>
      <w:r w:rsidR="00311DBD" w:rsidRPr="00311DBD">
        <w:rPr>
          <w:i/>
        </w:rPr>
        <w:t>provided</w:t>
      </w:r>
      <w:r w:rsidR="006308AF">
        <w:t xml:space="preserve"> that</w:t>
      </w:r>
    </w:p>
    <w:p w:rsidR="00311DBD" w:rsidRDefault="00311DBD" w:rsidP="006308AF">
      <w:pPr>
        <w:keepLines/>
        <w:autoSpaceDE w:val="0"/>
        <w:autoSpaceDN w:val="0"/>
        <w:adjustRightInd w:val="0"/>
        <w:ind w:left="720" w:right="576"/>
        <w:jc w:val="both"/>
      </w:pPr>
    </w:p>
    <w:p w:rsidR="006308AF" w:rsidRDefault="006308AF" w:rsidP="006308AF">
      <w:pPr>
        <w:keepLines/>
        <w:numPr>
          <w:ilvl w:val="0"/>
          <w:numId w:val="3"/>
        </w:numPr>
        <w:autoSpaceDE w:val="0"/>
        <w:autoSpaceDN w:val="0"/>
        <w:adjustRightInd w:val="0"/>
        <w:ind w:right="576"/>
        <w:jc w:val="both"/>
      </w:pPr>
      <w:r>
        <w:t>a refusal to provide services, accommodations, advantages, f</w:t>
      </w:r>
      <w:r>
        <w:t>a</w:t>
      </w:r>
      <w:r>
        <w:t xml:space="preserve">cilities, goods, or privileges related to the solemnization of any marriage shall not be protected under this section </w:t>
      </w:r>
      <w:r w:rsidR="00B379DC">
        <w:t xml:space="preserve">where </w:t>
      </w:r>
      <w:r>
        <w:t>(</w:t>
      </w:r>
      <w:proofErr w:type="spellStart"/>
      <w:r>
        <w:t>i</w:t>
      </w:r>
      <w:proofErr w:type="spellEnd"/>
      <w:r>
        <w:t>) a party to the marriage is unable to obtain any similar services, accommodations, advantages, facilities, goods, or privilege</w:t>
      </w:r>
      <w:r w:rsidR="005914E3">
        <w:t>s elsewhere</w:t>
      </w:r>
      <w:r>
        <w:t xml:space="preserve"> and (ii) such inability to obtain similar services, a</w:t>
      </w:r>
      <w:r>
        <w:t>c</w:t>
      </w:r>
      <w:r>
        <w:t>commodations, advantages, facilities, goods, or privileges elsewhere constitutes a substantial hardship; and</w:t>
      </w:r>
    </w:p>
    <w:p w:rsidR="006308AF" w:rsidRDefault="006308AF" w:rsidP="006308AF">
      <w:pPr>
        <w:keepLines/>
        <w:autoSpaceDE w:val="0"/>
        <w:autoSpaceDN w:val="0"/>
        <w:adjustRightInd w:val="0"/>
        <w:ind w:right="576"/>
        <w:jc w:val="both"/>
      </w:pPr>
    </w:p>
    <w:p w:rsidR="006308AF" w:rsidRPr="00311DBD" w:rsidRDefault="006308AF" w:rsidP="006308AF">
      <w:pPr>
        <w:keepLines/>
        <w:numPr>
          <w:ilvl w:val="0"/>
          <w:numId w:val="3"/>
        </w:numPr>
        <w:autoSpaceDE w:val="0"/>
        <w:autoSpaceDN w:val="0"/>
        <w:adjustRightInd w:val="0"/>
        <w:ind w:right="576"/>
        <w:jc w:val="both"/>
      </w:pPr>
      <w:proofErr w:type="gramStart"/>
      <w:r>
        <w:t>no</w:t>
      </w:r>
      <w:proofErr w:type="gramEnd"/>
      <w:r>
        <w:t xml:space="preserve"> government official may refuse to solemnize a marriage if another government official is not available and willing to do so.</w:t>
      </w:r>
    </w:p>
    <w:p w:rsidR="009F33AE" w:rsidRDefault="009F33AE" w:rsidP="009F33AE">
      <w:pPr>
        <w:ind w:firstLine="720"/>
        <w:jc w:val="both"/>
      </w:pPr>
    </w:p>
    <w:p w:rsidR="000068E9" w:rsidRPr="00115011" w:rsidRDefault="009F33AE" w:rsidP="009C3A45">
      <w:pPr>
        <w:suppressAutoHyphens/>
        <w:autoSpaceDE w:val="0"/>
        <w:autoSpaceDN w:val="0"/>
        <w:adjustRightInd w:val="0"/>
        <w:ind w:firstLine="720"/>
        <w:jc w:val="both"/>
      </w:pPr>
      <w:r>
        <w:t>This language has several imp</w:t>
      </w:r>
      <w:r w:rsidRPr="00115011">
        <w:t xml:space="preserve">ortant benefits.  First, as noted above, it is modeled on existing protections in </w:t>
      </w:r>
      <w:smartTag w:uri="urn:schemas-microsoft-com:office:smarttags" w:element="State">
        <w:smartTag w:uri="urn:schemas-microsoft-com:office:smarttags" w:element="place">
          <w:r w:rsidR="004A536B" w:rsidRPr="00115011">
            <w:t>New York</w:t>
          </w:r>
        </w:smartTag>
      </w:smartTag>
      <w:r w:rsidR="004A536B" w:rsidRPr="00115011">
        <w:t xml:space="preserve"> </w:t>
      </w:r>
      <w:r w:rsidRPr="00115011">
        <w:t xml:space="preserve">law </w:t>
      </w:r>
      <w:r w:rsidR="00115011" w:rsidRPr="00115011">
        <w:t>protecting a</w:t>
      </w:r>
      <w:r w:rsidRPr="00115011">
        <w:t xml:space="preserve"> </w:t>
      </w:r>
      <w:r w:rsidR="004A536B" w:rsidRPr="00115011">
        <w:t>“</w:t>
      </w:r>
      <w:r w:rsidR="004A536B" w:rsidRPr="00115011">
        <w:rPr>
          <w:rStyle w:val="documentbody"/>
        </w:rPr>
        <w:t xml:space="preserve">religious or denominational institution or organization, or any organization operated for charitable or educational purposes, which is operated, supervised or controlled by or in connection </w:t>
      </w:r>
      <w:r w:rsidR="004A536B" w:rsidRPr="00115011">
        <w:rPr>
          <w:rStyle w:val="documentbody"/>
        </w:rPr>
        <w:lastRenderedPageBreak/>
        <w:t>with a religious organization</w:t>
      </w:r>
      <w:r w:rsidRPr="00115011">
        <w:t>.”</w:t>
      </w:r>
      <w:r w:rsidRPr="00115011">
        <w:rPr>
          <w:rStyle w:val="FootnoteReference"/>
        </w:rPr>
        <w:footnoteReference w:id="24"/>
      </w:r>
      <w:r w:rsidRPr="00115011">
        <w:t xml:space="preserve">  </w:t>
      </w:r>
      <w:r w:rsidR="009C3A45" w:rsidRPr="00115011">
        <w:t>This language also provides vital protections for religious individuals who own small businesses.</w:t>
      </w:r>
    </w:p>
    <w:p w:rsidR="000068E9" w:rsidRDefault="000068E9" w:rsidP="003D3C01">
      <w:pPr>
        <w:suppressAutoHyphens/>
        <w:autoSpaceDE w:val="0"/>
        <w:autoSpaceDN w:val="0"/>
        <w:adjustRightInd w:val="0"/>
        <w:jc w:val="both"/>
      </w:pPr>
    </w:p>
    <w:p w:rsidR="009C3A45" w:rsidRDefault="000068E9" w:rsidP="000068E9">
      <w:pPr>
        <w:suppressAutoHyphens/>
        <w:autoSpaceDE w:val="0"/>
        <w:autoSpaceDN w:val="0"/>
        <w:adjustRightInd w:val="0"/>
        <w:ind w:firstLine="720"/>
        <w:jc w:val="both"/>
      </w:pPr>
      <w:r>
        <w:t xml:space="preserve">Second, </w:t>
      </w:r>
      <w:r w:rsidR="009C3A45">
        <w:t xml:space="preserve">this language </w:t>
      </w:r>
      <w:r w:rsidR="00056850">
        <w:t xml:space="preserve">grants specific protections </w:t>
      </w:r>
      <w:r w:rsidR="009C3A45">
        <w:t xml:space="preserve">modeled on </w:t>
      </w:r>
      <w:r w:rsidR="00056850">
        <w:t xml:space="preserve">the </w:t>
      </w:r>
      <w:smartTag w:uri="urn:schemas-microsoft-com:office:smarttags" w:element="State">
        <w:r w:rsidR="00EE13DB">
          <w:t>Vermont</w:t>
        </w:r>
      </w:smartTag>
      <w:r w:rsidR="00B83696">
        <w:t xml:space="preserve"> and </w:t>
      </w:r>
      <w:smartTag w:uri="urn:schemas-microsoft-com:office:smarttags" w:element="State">
        <w:smartTag w:uri="urn:schemas-microsoft-com:office:smarttags" w:element="place">
          <w:r w:rsidR="00B83696">
            <w:t>Connecticut</w:t>
          </w:r>
        </w:smartTag>
      </w:smartTag>
      <w:r w:rsidR="00EE13DB">
        <w:t xml:space="preserve"> same-sex marriage </w:t>
      </w:r>
      <w:r w:rsidR="00B83696">
        <w:t>laws</w:t>
      </w:r>
      <w:r w:rsidR="009C3A45">
        <w:t xml:space="preserve">.  Those laws </w:t>
      </w:r>
      <w:r w:rsidR="00B83696">
        <w:t>protect</w:t>
      </w:r>
      <w:r w:rsidR="00EE13DB">
        <w:t xml:space="preserve"> the conscientious refusal “to provide services, accommodations, advantages, facilities, goods, or </w:t>
      </w:r>
      <w:proofErr w:type="gramStart"/>
      <w:r w:rsidR="00EE13DB">
        <w:t>privileges .</w:t>
      </w:r>
      <w:proofErr w:type="gramEnd"/>
      <w:r w:rsidR="00EE13DB">
        <w:t> . . related to the solemnization of a marriage.”</w:t>
      </w:r>
      <w:r w:rsidR="00EE13DB">
        <w:rPr>
          <w:rStyle w:val="FootnoteReference"/>
        </w:rPr>
        <w:footnoteReference w:id="25"/>
      </w:r>
      <w:r w:rsidR="00EE13DB">
        <w:t xml:space="preserve">  </w:t>
      </w:r>
    </w:p>
    <w:p w:rsidR="00B83696" w:rsidRDefault="00B83696" w:rsidP="003D3C01">
      <w:pPr>
        <w:suppressAutoHyphens/>
        <w:autoSpaceDE w:val="0"/>
        <w:autoSpaceDN w:val="0"/>
        <w:adjustRightInd w:val="0"/>
        <w:jc w:val="both"/>
      </w:pPr>
    </w:p>
    <w:p w:rsidR="009C3A45" w:rsidRDefault="009C3A45" w:rsidP="00B83696">
      <w:pPr>
        <w:suppressAutoHyphens/>
        <w:autoSpaceDE w:val="0"/>
        <w:autoSpaceDN w:val="0"/>
        <w:adjustRightInd w:val="0"/>
        <w:ind w:firstLine="720"/>
        <w:jc w:val="both"/>
      </w:pPr>
      <w:r>
        <w:t>Third</w:t>
      </w:r>
      <w:r w:rsidR="009F33AE">
        <w:t xml:space="preserve">, </w:t>
      </w:r>
      <w:r w:rsidR="00B83696">
        <w:t xml:space="preserve">this language </w:t>
      </w:r>
      <w:r w:rsidR="009F33AE">
        <w:t>lists the primary areas of law where the refusal to treat a marriage as valid is likely to result in a penalty or denial of benefits (“</w:t>
      </w:r>
      <w:r w:rsidR="009F33AE" w:rsidRPr="00C064CA">
        <w:t xml:space="preserve">laws regarding employment discrimination, housing, public accommodations, licensing, </w:t>
      </w:r>
      <w:r w:rsidR="009F33AE">
        <w:t xml:space="preserve">government grants or contracts, </w:t>
      </w:r>
      <w:r w:rsidR="009F33AE" w:rsidRPr="00C064CA">
        <w:t>or tax-exempt status</w:t>
      </w:r>
      <w:r w:rsidR="009F33AE">
        <w:t xml:space="preserve">”).  </w:t>
      </w:r>
    </w:p>
    <w:p w:rsidR="009C3A45" w:rsidRDefault="009C3A45" w:rsidP="00B83696">
      <w:pPr>
        <w:suppressAutoHyphens/>
        <w:autoSpaceDE w:val="0"/>
        <w:autoSpaceDN w:val="0"/>
        <w:adjustRightInd w:val="0"/>
        <w:ind w:firstLine="720"/>
        <w:jc w:val="both"/>
      </w:pPr>
    </w:p>
    <w:p w:rsidR="009F33AE" w:rsidRDefault="00056850" w:rsidP="00B83696">
      <w:pPr>
        <w:suppressAutoHyphens/>
        <w:autoSpaceDE w:val="0"/>
        <w:autoSpaceDN w:val="0"/>
        <w:adjustRightInd w:val="0"/>
        <w:ind w:firstLine="720"/>
        <w:jc w:val="both"/>
      </w:pPr>
      <w:r>
        <w:t>Fourth</w:t>
      </w:r>
      <w:r w:rsidR="009F33AE">
        <w:t xml:space="preserve">, </w:t>
      </w:r>
      <w:r w:rsidR="009C3A45">
        <w:t xml:space="preserve">this language </w:t>
      </w:r>
      <w:r w:rsidR="009F33AE">
        <w:t xml:space="preserve">provides protection only where </w:t>
      </w:r>
      <w:r w:rsidR="0099124E">
        <w:t xml:space="preserve">providing services related to a marriage, </w:t>
      </w:r>
      <w:r w:rsidR="009F33AE" w:rsidRPr="00B0252A">
        <w:t>solemnizing</w:t>
      </w:r>
      <w:r w:rsidR="0099124E">
        <w:t xml:space="preserve"> a marriage</w:t>
      </w:r>
      <w:r w:rsidR="009F33AE" w:rsidRPr="00B0252A">
        <w:t xml:space="preserve">, or </w:t>
      </w:r>
      <w:r w:rsidR="009F33AE">
        <w:t xml:space="preserve">being forced to treat a marriage as valid </w:t>
      </w:r>
      <w:r w:rsidR="009F33AE" w:rsidRPr="00B0252A">
        <w:t xml:space="preserve">would </w:t>
      </w:r>
      <w:r w:rsidR="009F33AE">
        <w:t>“</w:t>
      </w:r>
      <w:proofErr w:type="gramStart"/>
      <w:r w:rsidR="009F33AE" w:rsidRPr="00B0252A">
        <w:t>violate</w:t>
      </w:r>
      <w:r w:rsidR="009F33AE">
        <w:t xml:space="preserve"> .</w:t>
      </w:r>
      <w:proofErr w:type="gramEnd"/>
      <w:r w:rsidR="009F33AE">
        <w:t xml:space="preserve"> . . </w:t>
      </w:r>
      <w:r w:rsidR="009F33AE" w:rsidRPr="00B0252A">
        <w:t xml:space="preserve">sincerely held religious beliefs.”  This </w:t>
      </w:r>
      <w:r w:rsidR="009F33AE">
        <w:t xml:space="preserve">phrase </w:t>
      </w:r>
      <w:r w:rsidR="009F33AE" w:rsidRPr="00B0252A">
        <w:t xml:space="preserve">is drawn from numerous court cases discussing the First Amendment </w:t>
      </w:r>
      <w:r w:rsidR="009F33AE">
        <w:t xml:space="preserve">to the U.S. Constitution </w:t>
      </w:r>
      <w:r w:rsidR="009F33AE" w:rsidRPr="00B0252A">
        <w:t>and ensures that the religious</w:t>
      </w:r>
      <w:r w:rsidR="009F33AE">
        <w:t xml:space="preserve">-conscience protection </w:t>
      </w:r>
      <w:r w:rsidR="009F33AE" w:rsidRPr="00B0252A">
        <w:t xml:space="preserve">will apply only to </w:t>
      </w:r>
      <w:r w:rsidR="009F33AE">
        <w:t xml:space="preserve">a “violation” of </w:t>
      </w:r>
      <w:r w:rsidR="009F33AE" w:rsidRPr="00B0252A">
        <w:t xml:space="preserve">“sincere” and “religious” beliefs—not to </w:t>
      </w:r>
      <w:r w:rsidR="009F33AE">
        <w:t xml:space="preserve">situations that merely make religious people uncomfortable, not to </w:t>
      </w:r>
      <w:r w:rsidR="009F33AE" w:rsidRPr="00B0252A">
        <w:t>insincere beliefs asserted as a pretext for discrimination, and not to non-religious moral beliefs.</w:t>
      </w:r>
    </w:p>
    <w:p w:rsidR="00056850" w:rsidRDefault="00056850" w:rsidP="00B83696">
      <w:pPr>
        <w:suppressAutoHyphens/>
        <w:autoSpaceDE w:val="0"/>
        <w:autoSpaceDN w:val="0"/>
        <w:adjustRightInd w:val="0"/>
        <w:ind w:firstLine="720"/>
        <w:jc w:val="both"/>
      </w:pPr>
    </w:p>
    <w:p w:rsidR="00AB5CA3" w:rsidRDefault="00056850" w:rsidP="00AB5CA3">
      <w:pPr>
        <w:suppressAutoHyphens/>
        <w:autoSpaceDE w:val="0"/>
        <w:autoSpaceDN w:val="0"/>
        <w:adjustRightInd w:val="0"/>
        <w:ind w:firstLine="720"/>
        <w:jc w:val="both"/>
      </w:pPr>
      <w:r>
        <w:t xml:space="preserve">Finally, this language recognizes that religious accommodations </w:t>
      </w:r>
      <w:r w:rsidR="00CF31DC">
        <w:t xml:space="preserve">might not be without cost </w:t>
      </w:r>
      <w:r>
        <w:t xml:space="preserve">for same-sex couples, such as the need to find a new </w:t>
      </w:r>
      <w:r w:rsidR="00AB5CA3">
        <w:t xml:space="preserve">wedding photographer or caterer if the original choice must step aside for reasons of conscience.  In order to address this issue, the proposed language ensures that </w:t>
      </w:r>
      <w:r w:rsidR="008A1187">
        <w:t xml:space="preserve">a same-sex </w:t>
      </w:r>
      <w:proofErr w:type="spellStart"/>
      <w:r w:rsidR="008A1187">
        <w:t>couple</w:t>
      </w:r>
      <w:proofErr w:type="spellEnd"/>
      <w:r w:rsidR="00AB5CA3">
        <w:t xml:space="preserve"> can obtain service, even from conscientious objectors, when </w:t>
      </w:r>
      <w:r w:rsidR="008A1187">
        <w:t xml:space="preserve">the inability to find </w:t>
      </w:r>
      <w:r w:rsidR="00AB5CA3">
        <w:t>similar service elsewhere</w:t>
      </w:r>
      <w:r w:rsidR="008A1187">
        <w:t xml:space="preserve"> would impose an undue hardship on the couple.</w:t>
      </w:r>
      <w:r w:rsidR="00AB5CA3">
        <w:t xml:space="preserve">  </w:t>
      </w:r>
      <w:r w:rsidR="00554494">
        <w:t xml:space="preserve">But because this hardship exception could force organizations or individuals to violate their religious beliefs, it should be available only in cases of substantial hardship, not mere inconvenience or symbolic harm.  </w:t>
      </w:r>
      <w:r w:rsidR="00AB5CA3">
        <w:t xml:space="preserve">The language also ensures that </w:t>
      </w:r>
      <w:r w:rsidRPr="00056850">
        <w:t>no government employee</w:t>
      </w:r>
      <w:r w:rsidR="00AB5CA3">
        <w:t xml:space="preserve"> (such as a court clerk)</w:t>
      </w:r>
      <w:r w:rsidRPr="00056850">
        <w:t xml:space="preserve"> may act as a choke point on the path to marriage</w:t>
      </w:r>
      <w:r w:rsidR="008A1187">
        <w:t xml:space="preserve">.  So, for example, no government employee can refuse on grounds of conscience to issue a marriage license unless </w:t>
      </w:r>
      <w:r w:rsidRPr="00056850">
        <w:t xml:space="preserve">another </w:t>
      </w:r>
      <w:r w:rsidR="008A1187">
        <w:t xml:space="preserve">government employee </w:t>
      </w:r>
      <w:r w:rsidRPr="00056850">
        <w:t>is available</w:t>
      </w:r>
      <w:r w:rsidR="008A1187">
        <w:t xml:space="preserve"> and willing to do so.</w:t>
      </w:r>
      <w:r w:rsidRPr="00056850">
        <w:t xml:space="preserve"> </w:t>
      </w:r>
      <w:r w:rsidR="008A1187">
        <w:t xml:space="preserve"> </w:t>
      </w:r>
      <w:r w:rsidR="00AB5CA3">
        <w:t xml:space="preserve">These sorts of </w:t>
      </w:r>
      <w:r w:rsidR="008A1187">
        <w:t xml:space="preserve">hardship protections </w:t>
      </w:r>
      <w:r w:rsidR="00AB5CA3">
        <w:t xml:space="preserve">are common </w:t>
      </w:r>
      <w:r w:rsidR="00A13916">
        <w:t>in other laws protecting the right of conscientious objection.</w:t>
      </w:r>
      <w:r w:rsidR="00A13916">
        <w:rPr>
          <w:rStyle w:val="FootnoteReference"/>
        </w:rPr>
        <w:footnoteReference w:id="26"/>
      </w:r>
    </w:p>
    <w:p w:rsidR="00AB5CA3" w:rsidRDefault="00AB5CA3" w:rsidP="00AB5CA3">
      <w:pPr>
        <w:suppressAutoHyphens/>
        <w:autoSpaceDE w:val="0"/>
        <w:autoSpaceDN w:val="0"/>
        <w:adjustRightInd w:val="0"/>
        <w:ind w:firstLine="720"/>
        <w:jc w:val="both"/>
      </w:pPr>
    </w:p>
    <w:p w:rsidR="00230CA2" w:rsidRPr="00221219" w:rsidRDefault="009F33AE" w:rsidP="00230CA2">
      <w:pPr>
        <w:jc w:val="both"/>
      </w:pPr>
      <w:r>
        <w:tab/>
      </w:r>
      <w:r w:rsidR="00A13916">
        <w:t>In short, t</w:t>
      </w:r>
      <w:r w:rsidR="00230CA2" w:rsidRPr="00221219">
        <w:t xml:space="preserve">his “marriage conscience protection” would alleviate the vast majority of conflict between same-sex marriage and religious liberty, while still </w:t>
      </w:r>
      <w:r w:rsidR="00230CA2">
        <w:t xml:space="preserve">allowing for full recognition of </w:t>
      </w:r>
      <w:r w:rsidR="00230CA2" w:rsidRPr="00221219">
        <w:t xml:space="preserve">same-sex marriages.  It has ample precedent in both </w:t>
      </w:r>
      <w:smartTag w:uri="urn:schemas-microsoft-com:office:smarttags" w:element="State">
        <w:smartTag w:uri="urn:schemas-microsoft-com:office:smarttags" w:element="place">
          <w:r w:rsidR="00BE2186">
            <w:t>New York</w:t>
          </w:r>
        </w:smartTag>
      </w:smartTag>
      <w:r w:rsidR="00BE2186">
        <w:t xml:space="preserve"> </w:t>
      </w:r>
      <w:r w:rsidR="0052017E">
        <w:t>a</w:t>
      </w:r>
      <w:r w:rsidR="00230CA2">
        <w:t>nd fe</w:t>
      </w:r>
      <w:r w:rsidR="00230CA2">
        <w:t>d</w:t>
      </w:r>
      <w:r w:rsidR="00230CA2">
        <w:t xml:space="preserve">eral </w:t>
      </w:r>
      <w:r w:rsidR="00230CA2" w:rsidRPr="00221219">
        <w:t xml:space="preserve">law.  And it represents the best in the American and </w:t>
      </w:r>
      <w:smartTag w:uri="urn:schemas-microsoft-com:office:smarttags" w:element="State">
        <w:smartTag w:uri="urn:schemas-microsoft-com:office:smarttags" w:element="place">
          <w:r w:rsidR="00BE2186">
            <w:t>New York</w:t>
          </w:r>
        </w:smartTag>
      </w:smartTag>
      <w:r w:rsidR="00BE2186">
        <w:t xml:space="preserve"> </w:t>
      </w:r>
      <w:r w:rsidR="00230CA2" w:rsidRPr="00221219">
        <w:t>tradition of protec</w:t>
      </w:r>
      <w:r w:rsidR="00230CA2" w:rsidRPr="00221219">
        <w:t>t</w:t>
      </w:r>
      <w:r w:rsidR="00230CA2" w:rsidRPr="00221219">
        <w:t xml:space="preserve">ing freedom of conscience.  </w:t>
      </w:r>
    </w:p>
    <w:p w:rsidR="009F33AE" w:rsidRDefault="009F33AE" w:rsidP="009F33AE">
      <w:pPr>
        <w:jc w:val="both"/>
      </w:pPr>
    </w:p>
    <w:p w:rsidR="009F33AE" w:rsidRPr="00E6438A" w:rsidRDefault="009F33AE" w:rsidP="00BE0CEF">
      <w:pPr>
        <w:keepNext/>
        <w:jc w:val="center"/>
        <w:rPr>
          <w:b/>
          <w:u w:val="single"/>
        </w:rPr>
      </w:pPr>
      <w:r w:rsidRPr="00E6438A">
        <w:rPr>
          <w:b/>
          <w:u w:val="single"/>
        </w:rPr>
        <w:t>Conclusion</w:t>
      </w:r>
    </w:p>
    <w:p w:rsidR="009F33AE" w:rsidRDefault="009F33AE" w:rsidP="00BE0CEF">
      <w:pPr>
        <w:keepNext/>
        <w:ind w:firstLine="720"/>
        <w:jc w:val="both"/>
      </w:pPr>
    </w:p>
    <w:p w:rsidR="009F33AE" w:rsidRDefault="009F33AE" w:rsidP="009F33AE">
      <w:pPr>
        <w:ind w:firstLine="720"/>
        <w:jc w:val="both"/>
      </w:pPr>
      <w:r>
        <w:t xml:space="preserve">Enacting </w:t>
      </w:r>
      <w:r w:rsidR="00E2595C" w:rsidRPr="00BD38EB">
        <w:t xml:space="preserve">A07732 and S04401 </w:t>
      </w:r>
      <w:r>
        <w:t xml:space="preserve">without robust religious accommodations will lead to damaging, widespread, and unnecessary conflict between same-sex marriage and religious liberty.  The </w:t>
      </w:r>
      <w:r w:rsidR="00D07CC2">
        <w:t xml:space="preserve">Legislature </w:t>
      </w:r>
      <w:r>
        <w:t>should avoid that conflict by crafting an appropriate religious accommodation provision.  On that note, we would welcome any opportunity to provide further information, analysis</w:t>
      </w:r>
      <w:r w:rsidR="00A13916">
        <w:t>,</w:t>
      </w:r>
      <w:r>
        <w:t xml:space="preserve"> or testimony to the </w:t>
      </w:r>
      <w:r w:rsidR="009C3A45">
        <w:t>Legislature</w:t>
      </w:r>
      <w:r>
        <w:t>.</w:t>
      </w:r>
    </w:p>
    <w:p w:rsidR="009F33AE" w:rsidRDefault="009F33AE" w:rsidP="009F33AE">
      <w:pPr>
        <w:ind w:firstLine="720"/>
        <w:jc w:val="both"/>
      </w:pPr>
    </w:p>
    <w:p w:rsidR="009F33AE" w:rsidRDefault="009F33AE" w:rsidP="0053274B">
      <w:pPr>
        <w:tabs>
          <w:tab w:val="left" w:pos="0"/>
        </w:tabs>
        <w:jc w:val="center"/>
      </w:pPr>
      <w:r>
        <w:t>Very truly yours,</w:t>
      </w:r>
      <w:r w:rsidR="00A51591">
        <w:rPr>
          <w:rStyle w:val="FootnoteReference"/>
        </w:rPr>
        <w:footnoteReference w:id="27"/>
      </w:r>
    </w:p>
    <w:p w:rsidR="009F33AE" w:rsidRDefault="009F33AE" w:rsidP="009F33AE">
      <w:pPr>
        <w:tabs>
          <w:tab w:val="left" w:pos="4320"/>
        </w:tabs>
        <w:ind w:left="4320"/>
      </w:pPr>
    </w:p>
    <w:p w:rsidR="009F33AE" w:rsidRDefault="009F33AE" w:rsidP="009F33AE">
      <w:pPr>
        <w:tabs>
          <w:tab w:val="left" w:pos="4320"/>
        </w:tabs>
        <w:ind w:left="4320"/>
      </w:pPr>
    </w:p>
    <w:p w:rsidR="009F33AE" w:rsidRDefault="009F33AE" w:rsidP="009F33AE">
      <w:pPr>
        <w:tabs>
          <w:tab w:val="left" w:pos="4320"/>
        </w:tabs>
        <w:ind w:left="4320"/>
      </w:pPr>
    </w:p>
    <w:p w:rsidR="0053274B" w:rsidRDefault="0053274B" w:rsidP="0053274B">
      <w:pPr>
        <w:ind w:firstLine="720"/>
      </w:pPr>
      <w:r w:rsidRPr="0053274B">
        <w:t>Thomas C. Berg</w:t>
      </w:r>
      <w:r>
        <w:tab/>
      </w:r>
      <w:r>
        <w:tab/>
      </w:r>
      <w:r>
        <w:tab/>
      </w:r>
      <w:r>
        <w:tab/>
        <w:t>Carl H. Esbeck</w:t>
      </w:r>
    </w:p>
    <w:p w:rsidR="0053274B" w:rsidRDefault="0053274B" w:rsidP="0053274B">
      <w:pPr>
        <w:ind w:firstLine="720"/>
      </w:pPr>
      <w:r w:rsidRPr="0053274B">
        <w:t>St. Ives Professor</w:t>
      </w:r>
      <w:r>
        <w:tab/>
      </w:r>
      <w:r>
        <w:tab/>
      </w:r>
      <w:r>
        <w:tab/>
      </w:r>
      <w:r>
        <w:tab/>
        <w:t>Professor of Law</w:t>
      </w:r>
    </w:p>
    <w:p w:rsidR="0053274B" w:rsidRDefault="0053274B" w:rsidP="0053274B">
      <w:pPr>
        <w:ind w:firstLine="720"/>
      </w:pPr>
      <w:smartTag w:uri="urn:schemas-microsoft-com:office:smarttags" w:element="PlaceType">
        <w:r w:rsidRPr="0053274B">
          <w:t>University</w:t>
        </w:r>
      </w:smartTag>
      <w:r w:rsidRPr="0053274B">
        <w:t xml:space="preserve"> of St. Thomas </w:t>
      </w:r>
      <w:r>
        <w:tab/>
      </w:r>
      <w:r>
        <w:tab/>
      </w:r>
      <w:r>
        <w:tab/>
        <w:t>University of Missouri</w:t>
      </w:r>
    </w:p>
    <w:p w:rsidR="009F33AE" w:rsidRDefault="0053274B" w:rsidP="0053274B">
      <w:r>
        <w:t xml:space="preserve">   </w:t>
      </w:r>
      <w:r>
        <w:tab/>
        <w:t xml:space="preserve">   </w:t>
      </w:r>
      <w:smartTag w:uri="urn:schemas-microsoft-com:office:smarttags" w:element="PlaceType">
        <w:r w:rsidRPr="0053274B">
          <w:t>School</w:t>
        </w:r>
      </w:smartTag>
      <w:r w:rsidRPr="0053274B">
        <w:t xml:space="preserve"> of </w:t>
      </w:r>
      <w:smartTag w:uri="urn:schemas-microsoft-com:office:smarttags" w:element="PlaceName">
        <w:r w:rsidRPr="0053274B">
          <w:t>Law</w:t>
        </w:r>
      </w:smartTag>
      <w:r w:rsidRPr="0053274B">
        <w:t xml:space="preserve"> (</w:t>
      </w:r>
      <w:smartTag w:uri="urn:schemas-microsoft-com:office:smarttags" w:element="State">
        <w:smartTag w:uri="urn:schemas-microsoft-com:office:smarttags" w:element="place">
          <w:r w:rsidRPr="0053274B">
            <w:t>Minnesota</w:t>
          </w:r>
        </w:smartTag>
      </w:smartTag>
      <w:r w:rsidRPr="0053274B">
        <w:t>)</w:t>
      </w:r>
      <w:r>
        <w:tab/>
      </w:r>
      <w:r w:rsidR="009F33AE">
        <w:tab/>
      </w:r>
    </w:p>
    <w:p w:rsidR="0053274B" w:rsidRDefault="0053274B" w:rsidP="0053274B"/>
    <w:p w:rsidR="0053274B" w:rsidRDefault="0053274B" w:rsidP="0053274B"/>
    <w:p w:rsidR="00347332" w:rsidRDefault="00347332" w:rsidP="0053274B"/>
    <w:p w:rsidR="009C3A45" w:rsidRPr="00221219" w:rsidRDefault="009C3A45" w:rsidP="009C3A45">
      <w:r w:rsidRPr="00221219">
        <w:tab/>
      </w:r>
      <w:proofErr w:type="gramStart"/>
      <w:r w:rsidRPr="00221219">
        <w:t>Robin Fretwell Wilson</w:t>
      </w:r>
      <w:r>
        <w:tab/>
      </w:r>
      <w:r>
        <w:tab/>
      </w:r>
      <w:r>
        <w:tab/>
      </w:r>
      <w:r w:rsidR="00CF6609">
        <w:t xml:space="preserve">Edward </w:t>
      </w:r>
      <w:proofErr w:type="spellStart"/>
      <w:r w:rsidR="00CF6609">
        <w:t>McGlynn</w:t>
      </w:r>
      <w:proofErr w:type="spellEnd"/>
      <w:r w:rsidR="00CF6609">
        <w:t xml:space="preserve"> Gaffney, Jr.</w:t>
      </w:r>
      <w:proofErr w:type="gramEnd"/>
    </w:p>
    <w:p w:rsidR="009C3A45" w:rsidRPr="00221219" w:rsidRDefault="009C3A45" w:rsidP="009C3A45">
      <w:r w:rsidRPr="00221219">
        <w:tab/>
        <w:t>Professor of Law</w:t>
      </w:r>
      <w:r>
        <w:tab/>
      </w:r>
      <w:r>
        <w:tab/>
      </w:r>
      <w:r>
        <w:tab/>
      </w:r>
      <w:r>
        <w:tab/>
      </w:r>
      <w:r w:rsidR="00CF6609" w:rsidRPr="0097556F">
        <w:t>Valparaiso University</w:t>
      </w:r>
    </w:p>
    <w:p w:rsidR="009C3A45" w:rsidRPr="00221219" w:rsidRDefault="009C3A45" w:rsidP="009C3A45">
      <w:r w:rsidRPr="00221219">
        <w:tab/>
        <w:t xml:space="preserve">Washington </w:t>
      </w:r>
      <w:r>
        <w:t>and</w:t>
      </w:r>
      <w:r w:rsidRPr="00221219">
        <w:t xml:space="preserve"> Lee University</w:t>
      </w:r>
      <w:r>
        <w:tab/>
      </w:r>
      <w:r>
        <w:tab/>
      </w:r>
      <w:r w:rsidR="00706E0A">
        <w:t xml:space="preserve">   </w:t>
      </w:r>
      <w:r w:rsidR="00CF6609" w:rsidRPr="0097556F">
        <w:t>School of Law</w:t>
      </w:r>
    </w:p>
    <w:p w:rsidR="009C3A45" w:rsidRDefault="009C3A45" w:rsidP="009C3A45">
      <w:r w:rsidRPr="00221219">
        <w:tab/>
        <w:t xml:space="preserve">   School of Law</w:t>
      </w:r>
      <w:r>
        <w:tab/>
      </w:r>
      <w:r>
        <w:tab/>
      </w:r>
      <w:r>
        <w:tab/>
      </w:r>
      <w:r>
        <w:tab/>
        <w:t xml:space="preserve">   </w:t>
      </w:r>
    </w:p>
    <w:p w:rsidR="0097556F" w:rsidRDefault="0097556F" w:rsidP="009C3A45"/>
    <w:p w:rsidR="00347332" w:rsidRDefault="00347332" w:rsidP="009C3A45"/>
    <w:p w:rsidR="0097556F" w:rsidRDefault="0097556F" w:rsidP="0097556F">
      <w:pPr>
        <w:pStyle w:val="PlainText"/>
        <w:ind w:firstLine="720"/>
        <w:rPr>
          <w:rFonts w:ascii="Times New Roman" w:hAnsi="Times New Roman"/>
          <w:sz w:val="24"/>
          <w:szCs w:val="24"/>
        </w:rPr>
      </w:pPr>
    </w:p>
    <w:p w:rsidR="0097556F" w:rsidRDefault="00CF6609" w:rsidP="0097556F">
      <w:pPr>
        <w:pStyle w:val="PlainText"/>
        <w:ind w:firstLine="720"/>
        <w:rPr>
          <w:rFonts w:ascii="Times New Roman" w:hAnsi="Times New Roman"/>
          <w:sz w:val="24"/>
          <w:szCs w:val="24"/>
        </w:rPr>
      </w:pPr>
      <w:r>
        <w:rPr>
          <w:rFonts w:ascii="Times New Roman" w:hAnsi="Times New Roman"/>
          <w:sz w:val="24"/>
          <w:szCs w:val="24"/>
        </w:rPr>
        <w:t>Richard W. Garnett</w:t>
      </w:r>
      <w:r>
        <w:rPr>
          <w:rFonts w:ascii="Times New Roman" w:hAnsi="Times New Roman"/>
          <w:sz w:val="24"/>
          <w:szCs w:val="24"/>
        </w:rPr>
        <w:tab/>
      </w:r>
      <w:r>
        <w:rPr>
          <w:rFonts w:ascii="Times New Roman" w:hAnsi="Times New Roman"/>
          <w:sz w:val="24"/>
          <w:szCs w:val="24"/>
        </w:rPr>
        <w:tab/>
      </w:r>
      <w:r w:rsidR="0097556F">
        <w:rPr>
          <w:rFonts w:ascii="Times New Roman" w:hAnsi="Times New Roman"/>
          <w:sz w:val="24"/>
          <w:szCs w:val="24"/>
        </w:rPr>
        <w:t>.</w:t>
      </w:r>
      <w:r w:rsidR="0097556F">
        <w:rPr>
          <w:rFonts w:ascii="Times New Roman" w:hAnsi="Times New Roman"/>
          <w:sz w:val="24"/>
          <w:szCs w:val="24"/>
        </w:rPr>
        <w:tab/>
      </w:r>
      <w:r w:rsidR="0097556F">
        <w:rPr>
          <w:rFonts w:ascii="Times New Roman" w:hAnsi="Times New Roman"/>
          <w:sz w:val="24"/>
          <w:szCs w:val="24"/>
        </w:rPr>
        <w:tab/>
        <w:t>Marc D. Stern</w:t>
      </w:r>
    </w:p>
    <w:p w:rsidR="0097556F" w:rsidRDefault="00CF6609" w:rsidP="0097556F">
      <w:pPr>
        <w:pStyle w:val="PlainText"/>
        <w:ind w:firstLine="720"/>
        <w:rPr>
          <w:rFonts w:ascii="Times New Roman" w:hAnsi="Times New Roman"/>
          <w:sz w:val="24"/>
          <w:szCs w:val="24"/>
        </w:rPr>
      </w:pPr>
      <w:r>
        <w:rPr>
          <w:rFonts w:ascii="Times New Roman" w:hAnsi="Times New Roman"/>
          <w:sz w:val="24"/>
          <w:szCs w:val="24"/>
        </w:rPr>
        <w:t>Professor of Law</w:t>
      </w:r>
      <w:r w:rsidR="0097556F">
        <w:rPr>
          <w:rFonts w:ascii="Times New Roman" w:hAnsi="Times New Roman"/>
          <w:sz w:val="24"/>
          <w:szCs w:val="24"/>
        </w:rPr>
        <w:tab/>
      </w:r>
      <w:r w:rsidR="0097556F">
        <w:rPr>
          <w:rFonts w:ascii="Times New Roman" w:hAnsi="Times New Roman"/>
          <w:sz w:val="24"/>
          <w:szCs w:val="24"/>
        </w:rPr>
        <w:tab/>
      </w:r>
      <w:r w:rsidR="0097556F">
        <w:rPr>
          <w:rFonts w:ascii="Times New Roman" w:hAnsi="Times New Roman"/>
          <w:sz w:val="24"/>
          <w:szCs w:val="24"/>
        </w:rPr>
        <w:tab/>
      </w:r>
      <w:r w:rsidR="0097556F">
        <w:rPr>
          <w:rFonts w:ascii="Times New Roman" w:hAnsi="Times New Roman"/>
          <w:sz w:val="24"/>
          <w:szCs w:val="24"/>
        </w:rPr>
        <w:tab/>
        <w:t>Acting Co-Executive Director</w:t>
      </w:r>
      <w:r w:rsidR="00706E0A">
        <w:rPr>
          <w:rFonts w:ascii="Times New Roman" w:hAnsi="Times New Roman"/>
          <w:sz w:val="24"/>
          <w:szCs w:val="24"/>
        </w:rPr>
        <w:t>/</w:t>
      </w:r>
    </w:p>
    <w:p w:rsidR="0097556F" w:rsidRDefault="00CF6609" w:rsidP="0097556F">
      <w:pPr>
        <w:pStyle w:val="PlainText"/>
        <w:ind w:firstLine="720"/>
        <w:rPr>
          <w:rFonts w:ascii="Times New Roman" w:hAnsi="Times New Roman"/>
          <w:sz w:val="24"/>
          <w:szCs w:val="24"/>
        </w:rPr>
      </w:pPr>
      <w:r>
        <w:rPr>
          <w:rFonts w:ascii="Times New Roman" w:hAnsi="Times New Roman"/>
          <w:sz w:val="24"/>
          <w:szCs w:val="24"/>
        </w:rPr>
        <w:t>University of Notre Dame</w:t>
      </w:r>
      <w:r>
        <w:rPr>
          <w:rFonts w:ascii="Times New Roman" w:hAnsi="Times New Roman"/>
          <w:sz w:val="24"/>
          <w:szCs w:val="24"/>
        </w:rPr>
        <w:tab/>
      </w:r>
      <w:r w:rsidR="0097556F">
        <w:rPr>
          <w:rFonts w:ascii="Times New Roman" w:hAnsi="Times New Roman"/>
          <w:sz w:val="24"/>
          <w:szCs w:val="24"/>
        </w:rPr>
        <w:tab/>
      </w:r>
      <w:r w:rsidR="0097556F">
        <w:rPr>
          <w:rFonts w:ascii="Times New Roman" w:hAnsi="Times New Roman"/>
          <w:sz w:val="24"/>
          <w:szCs w:val="24"/>
        </w:rPr>
        <w:tab/>
      </w:r>
      <w:r w:rsidR="00706E0A">
        <w:rPr>
          <w:rFonts w:ascii="Times New Roman" w:hAnsi="Times New Roman"/>
          <w:sz w:val="24"/>
          <w:szCs w:val="24"/>
        </w:rPr>
        <w:t xml:space="preserve">   </w:t>
      </w:r>
      <w:r w:rsidR="00303FFC">
        <w:rPr>
          <w:rFonts w:ascii="Times New Roman" w:hAnsi="Times New Roman"/>
          <w:sz w:val="24"/>
          <w:szCs w:val="24"/>
        </w:rPr>
        <w:t>General Counsel</w:t>
      </w:r>
    </w:p>
    <w:p w:rsidR="0097556F" w:rsidRDefault="00CF6609" w:rsidP="009C3A45">
      <w:r>
        <w:tab/>
        <w:t xml:space="preserve">   Law School</w:t>
      </w:r>
      <w:r w:rsidR="00303FFC">
        <w:tab/>
      </w:r>
      <w:r w:rsidR="00303FFC">
        <w:tab/>
      </w:r>
      <w:r w:rsidR="00303FFC">
        <w:tab/>
      </w:r>
      <w:r w:rsidR="00303FFC">
        <w:tab/>
      </w:r>
      <w:r w:rsidR="00303FFC">
        <w:tab/>
        <w:t>American Jewish Congress</w:t>
      </w:r>
    </w:p>
    <w:p w:rsidR="00303FFC" w:rsidRDefault="00303FFC" w:rsidP="009C3A45"/>
    <w:sectPr w:rsidR="00303FFC" w:rsidSect="00AB42CC">
      <w:headerReference w:type="default" r:id="rId7"/>
      <w:pgSz w:w="12240" w:h="15840" w:code="1"/>
      <w:pgMar w:top="1440" w:right="1872" w:bottom="1440" w:left="1872"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D2E3F" w:rsidRDefault="002D2E3F">
      <w:r>
        <w:separator/>
      </w:r>
    </w:p>
  </w:endnote>
  <w:endnote w:type="continuationSeparator" w:id="0">
    <w:p w:rsidR="002D2E3F" w:rsidRDefault="002D2E3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A00002EF" w:usb1="4000204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D2E3F" w:rsidRDefault="002D2E3F">
      <w:r>
        <w:separator/>
      </w:r>
    </w:p>
  </w:footnote>
  <w:footnote w:type="continuationSeparator" w:id="0">
    <w:p w:rsidR="002D2E3F" w:rsidRDefault="002D2E3F">
      <w:r>
        <w:continuationSeparator/>
      </w:r>
    </w:p>
  </w:footnote>
  <w:footnote w:id="1">
    <w:p w:rsidR="00BC555C" w:rsidRPr="00185E43" w:rsidRDefault="00BC555C" w:rsidP="009F33AE">
      <w:pPr>
        <w:pStyle w:val="FootnoteText"/>
        <w:spacing w:after="240"/>
        <w:jc w:val="both"/>
        <w:rPr>
          <w:sz w:val="22"/>
          <w:szCs w:val="22"/>
        </w:rPr>
      </w:pPr>
      <w:r w:rsidRPr="00185E43">
        <w:rPr>
          <w:rStyle w:val="FootnoteReference"/>
          <w:sz w:val="22"/>
          <w:szCs w:val="22"/>
        </w:rPr>
        <w:footnoteRef/>
      </w:r>
      <w:r w:rsidRPr="00185E43">
        <w:rPr>
          <w:sz w:val="22"/>
          <w:szCs w:val="22"/>
        </w:rPr>
        <w:t xml:space="preserve"> </w:t>
      </w:r>
      <w:r w:rsidRPr="00185E43">
        <w:rPr>
          <w:smallCaps/>
          <w:sz w:val="22"/>
          <w:szCs w:val="22"/>
        </w:rPr>
        <w:t>Same-Sex Marriage and Religious Liberty: Emerging Conflicts</w:t>
      </w:r>
      <w:r w:rsidRPr="00185E43">
        <w:rPr>
          <w:sz w:val="22"/>
          <w:szCs w:val="22"/>
        </w:rPr>
        <w:t xml:space="preserve">, Douglas Laycock, Anthony R. </w:t>
      </w:r>
      <w:proofErr w:type="spellStart"/>
      <w:r w:rsidRPr="00185E43">
        <w:rPr>
          <w:sz w:val="22"/>
          <w:szCs w:val="22"/>
        </w:rPr>
        <w:t>Picarello</w:t>
      </w:r>
      <w:proofErr w:type="spellEnd"/>
      <w:r w:rsidRPr="00185E43">
        <w:rPr>
          <w:sz w:val="22"/>
          <w:szCs w:val="22"/>
        </w:rPr>
        <w:t>, Jr. and Robin Fretwell Wilson, eds. (</w:t>
      </w:r>
      <w:proofErr w:type="spellStart"/>
      <w:r w:rsidRPr="00185E43">
        <w:rPr>
          <w:sz w:val="22"/>
          <w:szCs w:val="22"/>
        </w:rPr>
        <w:t>Rowman</w:t>
      </w:r>
      <w:proofErr w:type="spellEnd"/>
      <w:r w:rsidRPr="00185E43">
        <w:rPr>
          <w:sz w:val="22"/>
          <w:szCs w:val="22"/>
        </w:rPr>
        <w:t xml:space="preserve"> &amp; Littlefield 2008) (inclu</w:t>
      </w:r>
      <w:r w:rsidRPr="00185E43">
        <w:rPr>
          <w:sz w:val="22"/>
          <w:szCs w:val="22"/>
        </w:rPr>
        <w:t>d</w:t>
      </w:r>
      <w:r w:rsidRPr="00185E43">
        <w:rPr>
          <w:sz w:val="22"/>
          <w:szCs w:val="22"/>
        </w:rPr>
        <w:t xml:space="preserve">ing contributions from both supporters and opponents of same-sex marriage).  </w:t>
      </w:r>
    </w:p>
  </w:footnote>
  <w:footnote w:id="2">
    <w:p w:rsidR="00BC555C" w:rsidRPr="00185E43" w:rsidRDefault="00BC555C" w:rsidP="009F33AE">
      <w:pPr>
        <w:pStyle w:val="FootnoteText"/>
        <w:spacing w:after="240"/>
        <w:jc w:val="both"/>
        <w:rPr>
          <w:sz w:val="22"/>
          <w:szCs w:val="22"/>
        </w:rPr>
      </w:pPr>
      <w:r w:rsidRPr="00185E43">
        <w:rPr>
          <w:rStyle w:val="FootnoteReference"/>
          <w:sz w:val="22"/>
          <w:szCs w:val="22"/>
        </w:rPr>
        <w:footnoteRef/>
      </w:r>
      <w:r w:rsidRPr="00185E43">
        <w:rPr>
          <w:sz w:val="22"/>
          <w:szCs w:val="22"/>
        </w:rPr>
        <w:t xml:space="preserve"> </w:t>
      </w:r>
      <w:proofErr w:type="gramStart"/>
      <w:r w:rsidRPr="00185E43">
        <w:rPr>
          <w:i/>
          <w:sz w:val="22"/>
          <w:szCs w:val="22"/>
        </w:rPr>
        <w:t>Id.</w:t>
      </w:r>
      <w:r w:rsidRPr="00185E43">
        <w:rPr>
          <w:sz w:val="22"/>
          <w:szCs w:val="22"/>
        </w:rPr>
        <w:t xml:space="preserve">, Marc Stern, Assistant Executive Director, American Jewish Congress, </w:t>
      </w:r>
      <w:r w:rsidRPr="00185E43">
        <w:rPr>
          <w:i/>
          <w:sz w:val="22"/>
          <w:szCs w:val="22"/>
        </w:rPr>
        <w:t>Same-Sex Marriage and the Churches</w:t>
      </w:r>
      <w:r w:rsidRPr="00185E43">
        <w:rPr>
          <w:sz w:val="22"/>
          <w:szCs w:val="22"/>
        </w:rPr>
        <w:t xml:space="preserve"> at </w:t>
      </w:r>
      <w:r w:rsidRPr="00185E43">
        <w:rPr>
          <w:smallCaps/>
          <w:sz w:val="22"/>
          <w:szCs w:val="22"/>
        </w:rPr>
        <w:t xml:space="preserve">1 </w:t>
      </w:r>
      <w:r w:rsidRPr="00185E43">
        <w:rPr>
          <w:sz w:val="22"/>
          <w:szCs w:val="22"/>
        </w:rPr>
        <w:t>(“Stern”).</w:t>
      </w:r>
      <w:proofErr w:type="gramEnd"/>
      <w:r w:rsidRPr="00185E43">
        <w:rPr>
          <w:sz w:val="22"/>
          <w:szCs w:val="22"/>
        </w:rPr>
        <w:t xml:space="preserve">  </w:t>
      </w:r>
      <w:r w:rsidRPr="00185E43">
        <w:rPr>
          <w:i/>
          <w:sz w:val="22"/>
          <w:szCs w:val="22"/>
        </w:rPr>
        <w:t>See also id.</w:t>
      </w:r>
      <w:r w:rsidRPr="00185E43">
        <w:rPr>
          <w:sz w:val="22"/>
          <w:szCs w:val="22"/>
        </w:rPr>
        <w:t xml:space="preserve">, Douglas Laycock, University of Michigan Law School, </w:t>
      </w:r>
      <w:r w:rsidRPr="00185E43">
        <w:rPr>
          <w:i/>
          <w:sz w:val="22"/>
          <w:szCs w:val="22"/>
        </w:rPr>
        <w:t xml:space="preserve">Afterword </w:t>
      </w:r>
      <w:r w:rsidRPr="00185E43">
        <w:rPr>
          <w:sz w:val="22"/>
          <w:szCs w:val="22"/>
        </w:rPr>
        <w:t>at 191-97 (“Laycock”) (detailing the scope of “avoidable” and “unavoidable” conflicts).</w:t>
      </w:r>
    </w:p>
  </w:footnote>
  <w:footnote w:id="3">
    <w:p w:rsidR="00BC555C" w:rsidRPr="00185E43" w:rsidRDefault="00BC555C" w:rsidP="009F33AE">
      <w:pPr>
        <w:pStyle w:val="FootnoteText"/>
        <w:spacing w:after="240"/>
        <w:jc w:val="both"/>
        <w:rPr>
          <w:i/>
          <w:sz w:val="22"/>
          <w:szCs w:val="22"/>
        </w:rPr>
      </w:pPr>
      <w:r w:rsidRPr="00185E43">
        <w:rPr>
          <w:rStyle w:val="FootnoteReference"/>
          <w:sz w:val="22"/>
          <w:szCs w:val="22"/>
        </w:rPr>
        <w:footnoteRef/>
      </w:r>
      <w:r w:rsidRPr="00185E43">
        <w:rPr>
          <w:sz w:val="22"/>
          <w:szCs w:val="22"/>
        </w:rPr>
        <w:t xml:space="preserve"> Stern</w:t>
      </w:r>
      <w:r w:rsidRPr="00185E43">
        <w:rPr>
          <w:i/>
          <w:sz w:val="22"/>
          <w:szCs w:val="22"/>
        </w:rPr>
        <w:t xml:space="preserve"> </w:t>
      </w:r>
      <w:r w:rsidRPr="00185E43">
        <w:rPr>
          <w:sz w:val="22"/>
          <w:szCs w:val="22"/>
        </w:rPr>
        <w:t>at 33, 48 (“[A] rule allowing only heterosexual couples into married housing will be i</w:t>
      </w:r>
      <w:r w:rsidRPr="00185E43">
        <w:rPr>
          <w:sz w:val="22"/>
          <w:szCs w:val="22"/>
        </w:rPr>
        <w:t>l</w:t>
      </w:r>
      <w:r w:rsidRPr="00185E43">
        <w:rPr>
          <w:sz w:val="22"/>
          <w:szCs w:val="22"/>
        </w:rPr>
        <w:t xml:space="preserve">legal if same-sex marriage becomes legal.”); </w:t>
      </w:r>
      <w:r w:rsidRPr="00185E43">
        <w:rPr>
          <w:i/>
          <w:iCs/>
          <w:sz w:val="22"/>
          <w:szCs w:val="22"/>
        </w:rPr>
        <w:t xml:space="preserve">Issues Brief: Same-Sex Marriage and State Anti-Discrimination Laws </w:t>
      </w:r>
      <w:r w:rsidRPr="00185E43">
        <w:rPr>
          <w:sz w:val="22"/>
          <w:szCs w:val="22"/>
        </w:rPr>
        <w:t>at 3-5,</w:t>
      </w:r>
      <w:r w:rsidRPr="00185E43" w:rsidDel="00702FD5">
        <w:rPr>
          <w:sz w:val="22"/>
          <w:szCs w:val="22"/>
        </w:rPr>
        <w:t xml:space="preserve"> </w:t>
      </w:r>
      <w:r w:rsidRPr="00185E43">
        <w:rPr>
          <w:sz w:val="22"/>
          <w:szCs w:val="22"/>
        </w:rPr>
        <w:t xml:space="preserve">35-36, </w:t>
      </w:r>
      <w:r w:rsidRPr="00185E43">
        <w:rPr>
          <w:iCs/>
          <w:sz w:val="22"/>
          <w:szCs w:val="22"/>
        </w:rPr>
        <w:t xml:space="preserve">available at </w:t>
      </w:r>
      <w:hyperlink r:id="rId1" w:history="1">
        <w:r w:rsidRPr="007F6E99">
          <w:rPr>
            <w:rStyle w:val="Hyperlink"/>
            <w:iCs/>
            <w:color w:val="auto"/>
            <w:sz w:val="22"/>
            <w:szCs w:val="22"/>
          </w:rPr>
          <w:t>http://www.becketfund.org/files/34a97.pdf</w:t>
        </w:r>
      </w:hyperlink>
      <w:r w:rsidRPr="00185E43">
        <w:rPr>
          <w:iCs/>
          <w:sz w:val="22"/>
          <w:szCs w:val="22"/>
        </w:rPr>
        <w:t xml:space="preserve"> </w:t>
      </w:r>
      <w:r w:rsidRPr="00185E43">
        <w:rPr>
          <w:sz w:val="22"/>
          <w:szCs w:val="22"/>
        </w:rPr>
        <w:t>(“I</w:t>
      </w:r>
      <w:r w:rsidRPr="00185E43">
        <w:rPr>
          <w:sz w:val="22"/>
          <w:szCs w:val="22"/>
        </w:rPr>
        <w:t>s</w:t>
      </w:r>
      <w:r w:rsidRPr="00185E43">
        <w:rPr>
          <w:sz w:val="22"/>
          <w:szCs w:val="22"/>
        </w:rPr>
        <w:t>sues Brief”).</w:t>
      </w:r>
    </w:p>
  </w:footnote>
  <w:footnote w:id="4">
    <w:p w:rsidR="00BC555C" w:rsidRPr="00185E43" w:rsidRDefault="00BC555C" w:rsidP="009F33AE">
      <w:pPr>
        <w:pStyle w:val="FootnoteText"/>
        <w:spacing w:after="240"/>
        <w:jc w:val="both"/>
        <w:rPr>
          <w:sz w:val="22"/>
          <w:szCs w:val="22"/>
        </w:rPr>
      </w:pPr>
      <w:r w:rsidRPr="00185E43">
        <w:rPr>
          <w:rStyle w:val="FootnoteReference"/>
          <w:sz w:val="22"/>
          <w:szCs w:val="22"/>
        </w:rPr>
        <w:footnoteRef/>
      </w:r>
      <w:r w:rsidRPr="00185E43">
        <w:rPr>
          <w:sz w:val="22"/>
          <w:szCs w:val="22"/>
        </w:rPr>
        <w:t xml:space="preserve"> Stern at 31-33 (stating that “[t]he issue of church-school admission policies regarding children with parents in same-sex marriages will also arise,” and noting that “Orthodox Jewish schools in New York have been grappling with whether to admit children of single mothers who co</w:t>
      </w:r>
      <w:r w:rsidRPr="00185E43">
        <w:rPr>
          <w:sz w:val="22"/>
          <w:szCs w:val="22"/>
        </w:rPr>
        <w:t>n</w:t>
      </w:r>
      <w:r w:rsidRPr="00185E43">
        <w:rPr>
          <w:sz w:val="22"/>
          <w:szCs w:val="22"/>
        </w:rPr>
        <w:t>ceived with assisted reproductive technology”).</w:t>
      </w:r>
    </w:p>
  </w:footnote>
  <w:footnote w:id="5">
    <w:p w:rsidR="00BC555C" w:rsidRPr="00185E43" w:rsidRDefault="00BC555C" w:rsidP="009F33AE">
      <w:pPr>
        <w:pStyle w:val="FootnoteText"/>
        <w:spacing w:after="240"/>
        <w:jc w:val="both"/>
        <w:rPr>
          <w:sz w:val="22"/>
          <w:szCs w:val="22"/>
        </w:rPr>
      </w:pPr>
      <w:r w:rsidRPr="00185E43">
        <w:rPr>
          <w:rStyle w:val="FootnoteReference"/>
          <w:sz w:val="22"/>
          <w:szCs w:val="22"/>
        </w:rPr>
        <w:footnoteRef/>
      </w:r>
      <w:r w:rsidRPr="00185E43">
        <w:rPr>
          <w:sz w:val="22"/>
          <w:szCs w:val="22"/>
        </w:rPr>
        <w:t xml:space="preserve"> </w:t>
      </w:r>
      <w:r w:rsidRPr="00185E43">
        <w:rPr>
          <w:i/>
          <w:sz w:val="22"/>
          <w:szCs w:val="22"/>
        </w:rPr>
        <w:t xml:space="preserve">See </w:t>
      </w:r>
      <w:r w:rsidRPr="00185E43">
        <w:rPr>
          <w:rFonts w:eastAsia="Times New Roman"/>
          <w:sz w:val="22"/>
          <w:szCs w:val="22"/>
          <w:lang w:eastAsia="en-US"/>
        </w:rPr>
        <w:t>N.Y. Exec. Law § 296(11)</w:t>
      </w:r>
      <w:r w:rsidRPr="00185E43">
        <w:rPr>
          <w:sz w:val="22"/>
          <w:szCs w:val="22"/>
        </w:rPr>
        <w:t xml:space="preserve"> (public accommodations law providing some protection for “charitable” organizations and “religious or denominational institutions,” but not private ind</w:t>
      </w:r>
      <w:r w:rsidRPr="00185E43">
        <w:rPr>
          <w:sz w:val="22"/>
          <w:szCs w:val="22"/>
        </w:rPr>
        <w:t>i</w:t>
      </w:r>
      <w:r w:rsidRPr="00185E43">
        <w:rPr>
          <w:sz w:val="22"/>
          <w:szCs w:val="22"/>
        </w:rPr>
        <w:t xml:space="preserve">viduals); Stern at 37-39; </w:t>
      </w:r>
      <w:r w:rsidRPr="00185E43">
        <w:rPr>
          <w:i/>
          <w:sz w:val="22"/>
          <w:szCs w:val="22"/>
        </w:rPr>
        <w:t xml:space="preserve">see also </w:t>
      </w:r>
      <w:r w:rsidRPr="00185E43">
        <w:rPr>
          <w:sz w:val="22"/>
          <w:szCs w:val="22"/>
        </w:rPr>
        <w:t xml:space="preserve">Issues Brief at 3-5, 35-36; </w:t>
      </w:r>
      <w:proofErr w:type="spellStart"/>
      <w:r w:rsidRPr="00185E43">
        <w:rPr>
          <w:i/>
          <w:sz w:val="22"/>
          <w:szCs w:val="22"/>
        </w:rPr>
        <w:t>Elane</w:t>
      </w:r>
      <w:proofErr w:type="spellEnd"/>
      <w:r w:rsidRPr="00185E43">
        <w:rPr>
          <w:i/>
          <w:sz w:val="22"/>
          <w:szCs w:val="22"/>
        </w:rPr>
        <w:t xml:space="preserve"> Photography </w:t>
      </w:r>
      <w:r w:rsidRPr="00185E43">
        <w:rPr>
          <w:sz w:val="22"/>
          <w:szCs w:val="22"/>
        </w:rPr>
        <w:t>v.</w:t>
      </w:r>
      <w:r w:rsidRPr="00185E43">
        <w:rPr>
          <w:i/>
          <w:sz w:val="22"/>
          <w:szCs w:val="22"/>
        </w:rPr>
        <w:t xml:space="preserve"> </w:t>
      </w:r>
      <w:proofErr w:type="spellStart"/>
      <w:r w:rsidRPr="00185E43">
        <w:rPr>
          <w:i/>
          <w:sz w:val="22"/>
          <w:szCs w:val="22"/>
        </w:rPr>
        <w:t>Willock</w:t>
      </w:r>
      <w:proofErr w:type="spellEnd"/>
      <w:r w:rsidRPr="00185E43">
        <w:rPr>
          <w:sz w:val="22"/>
          <w:szCs w:val="22"/>
        </w:rPr>
        <w:t xml:space="preserve">, No. </w:t>
      </w:r>
      <w:proofErr w:type="gramStart"/>
      <w:r w:rsidRPr="00185E43">
        <w:rPr>
          <w:sz w:val="22"/>
          <w:szCs w:val="22"/>
        </w:rPr>
        <w:t>D-202-CV-200806632 (N.M. 2d Jud.</w:t>
      </w:r>
      <w:proofErr w:type="gramEnd"/>
      <w:r w:rsidRPr="00185E43">
        <w:rPr>
          <w:sz w:val="22"/>
          <w:szCs w:val="22"/>
        </w:rPr>
        <w:t xml:space="preserve"> </w:t>
      </w:r>
      <w:proofErr w:type="gramStart"/>
      <w:r w:rsidRPr="00185E43">
        <w:rPr>
          <w:sz w:val="22"/>
          <w:szCs w:val="22"/>
        </w:rPr>
        <w:t xml:space="preserve">Dist. Ct) (filed Jul. 1, 2008) (New Mexico photographer fined for refusing on religious grounds to photograph a same-sex commitment ceremony); </w:t>
      </w:r>
      <w:r w:rsidRPr="00185E43">
        <w:rPr>
          <w:i/>
          <w:sz w:val="22"/>
          <w:szCs w:val="22"/>
        </w:rPr>
        <w:t>Bernstein</w:t>
      </w:r>
      <w:r w:rsidRPr="00185E43">
        <w:rPr>
          <w:sz w:val="22"/>
          <w:szCs w:val="22"/>
        </w:rPr>
        <w:t xml:space="preserve"> v. </w:t>
      </w:r>
      <w:r w:rsidRPr="00185E43">
        <w:rPr>
          <w:i/>
          <w:sz w:val="22"/>
          <w:szCs w:val="22"/>
        </w:rPr>
        <w:t xml:space="preserve">Ocean Grove Camp Meeting </w:t>
      </w:r>
      <w:proofErr w:type="spellStart"/>
      <w:r w:rsidRPr="00185E43">
        <w:rPr>
          <w:i/>
          <w:sz w:val="22"/>
          <w:szCs w:val="22"/>
        </w:rPr>
        <w:t>Ass’n</w:t>
      </w:r>
      <w:proofErr w:type="spellEnd"/>
      <w:r w:rsidRPr="00185E43">
        <w:rPr>
          <w:sz w:val="22"/>
          <w:szCs w:val="22"/>
        </w:rPr>
        <w:t>, No.</w:t>
      </w:r>
      <w:proofErr w:type="gramEnd"/>
      <w:r w:rsidRPr="00185E43">
        <w:rPr>
          <w:sz w:val="22"/>
          <w:szCs w:val="22"/>
        </w:rPr>
        <w:t xml:space="preserve"> PN34XB-03008 (N.J. Dep’t. of Law and Public Safety, Notice of Probable Cause issued Dec. 29, 2008) (finding that a religious organ</w:t>
      </w:r>
      <w:r w:rsidRPr="00185E43">
        <w:rPr>
          <w:sz w:val="22"/>
          <w:szCs w:val="22"/>
        </w:rPr>
        <w:t>i</w:t>
      </w:r>
      <w:r w:rsidRPr="00185E43">
        <w:rPr>
          <w:sz w:val="22"/>
          <w:szCs w:val="22"/>
        </w:rPr>
        <w:t xml:space="preserve">zation likely violated public accommodations laws by denying a same-sex </w:t>
      </w:r>
      <w:proofErr w:type="spellStart"/>
      <w:r w:rsidRPr="00185E43">
        <w:rPr>
          <w:sz w:val="22"/>
          <w:szCs w:val="22"/>
        </w:rPr>
        <w:t>couple</w:t>
      </w:r>
      <w:proofErr w:type="spellEnd"/>
      <w:r w:rsidRPr="00185E43">
        <w:rPr>
          <w:sz w:val="22"/>
          <w:szCs w:val="22"/>
        </w:rPr>
        <w:t xml:space="preserve"> use of its wedding pavilion).</w:t>
      </w:r>
    </w:p>
  </w:footnote>
  <w:footnote w:id="6">
    <w:p w:rsidR="00BC555C" w:rsidRPr="00185E43" w:rsidRDefault="00BC555C" w:rsidP="009F33AE">
      <w:pPr>
        <w:pStyle w:val="FootnoteText"/>
        <w:spacing w:after="240"/>
        <w:jc w:val="both"/>
        <w:rPr>
          <w:sz w:val="22"/>
          <w:szCs w:val="22"/>
        </w:rPr>
      </w:pPr>
      <w:r w:rsidRPr="00185E43">
        <w:rPr>
          <w:rStyle w:val="FootnoteReference"/>
          <w:sz w:val="22"/>
          <w:szCs w:val="22"/>
        </w:rPr>
        <w:footnoteRef/>
      </w:r>
      <w:r w:rsidRPr="00185E43">
        <w:rPr>
          <w:sz w:val="22"/>
          <w:szCs w:val="22"/>
        </w:rPr>
        <w:t xml:space="preserve"> Stern at 37-39; </w:t>
      </w:r>
      <w:r w:rsidRPr="00185E43">
        <w:rPr>
          <w:i/>
          <w:sz w:val="22"/>
          <w:szCs w:val="22"/>
        </w:rPr>
        <w:t xml:space="preserve">see also Butler </w:t>
      </w:r>
      <w:r w:rsidRPr="00185E43">
        <w:rPr>
          <w:sz w:val="22"/>
          <w:szCs w:val="22"/>
        </w:rPr>
        <w:t>v.</w:t>
      </w:r>
      <w:r w:rsidRPr="00185E43">
        <w:rPr>
          <w:i/>
          <w:sz w:val="22"/>
          <w:szCs w:val="22"/>
        </w:rPr>
        <w:t xml:space="preserve"> Adoption Media</w:t>
      </w:r>
      <w:r w:rsidRPr="00185E43">
        <w:rPr>
          <w:sz w:val="22"/>
          <w:szCs w:val="22"/>
        </w:rPr>
        <w:t>, 486 F.Supp.2d 1022 (N.D. Cal. 2007) (a</w:t>
      </w:r>
      <w:r w:rsidRPr="00185E43">
        <w:rPr>
          <w:sz w:val="22"/>
          <w:szCs w:val="22"/>
        </w:rPr>
        <w:t>d</w:t>
      </w:r>
      <w:r w:rsidRPr="00185E43">
        <w:rPr>
          <w:sz w:val="22"/>
          <w:szCs w:val="22"/>
        </w:rPr>
        <w:t>ministrators of Arizona adoption facilitation website found subject to California’s public a</w:t>
      </w:r>
      <w:r w:rsidRPr="00185E43">
        <w:rPr>
          <w:sz w:val="22"/>
          <w:szCs w:val="22"/>
        </w:rPr>
        <w:t>c</w:t>
      </w:r>
      <w:r w:rsidRPr="00185E43">
        <w:rPr>
          <w:sz w:val="22"/>
          <w:szCs w:val="22"/>
        </w:rPr>
        <w:t xml:space="preserve">commodations statute because they refused to post profiles of same-sex couples as potential adoptive parents); Robin Fretwell Wilson, </w:t>
      </w:r>
      <w:r w:rsidRPr="00185E43">
        <w:rPr>
          <w:i/>
          <w:color w:val="000000"/>
          <w:sz w:val="22"/>
          <w:szCs w:val="22"/>
        </w:rPr>
        <w:t>A Matter of Conviction: Moral Clashes Over Same-Sex Adoption</w:t>
      </w:r>
      <w:r w:rsidRPr="00185E43">
        <w:rPr>
          <w:color w:val="000000"/>
          <w:sz w:val="22"/>
          <w:szCs w:val="22"/>
        </w:rPr>
        <w:t xml:space="preserve">, 22 </w:t>
      </w:r>
      <w:r w:rsidRPr="00185E43">
        <w:rPr>
          <w:iCs/>
          <w:smallCaps/>
          <w:color w:val="000000"/>
          <w:sz w:val="22"/>
          <w:szCs w:val="22"/>
        </w:rPr>
        <w:t>BYU J. Pub. L.</w:t>
      </w:r>
      <w:r w:rsidRPr="00185E43">
        <w:rPr>
          <w:i/>
          <w:iCs/>
          <w:color w:val="000000"/>
          <w:sz w:val="22"/>
          <w:szCs w:val="22"/>
        </w:rPr>
        <w:t xml:space="preserve"> </w:t>
      </w:r>
      <w:r w:rsidRPr="00185E43">
        <w:rPr>
          <w:color w:val="000000"/>
          <w:sz w:val="22"/>
          <w:szCs w:val="22"/>
        </w:rPr>
        <w:t>475 (2008) (describing clashes over same-sex adoption).</w:t>
      </w:r>
    </w:p>
  </w:footnote>
  <w:footnote w:id="7">
    <w:p w:rsidR="00BC555C" w:rsidRPr="00185E43" w:rsidRDefault="00BC555C" w:rsidP="009F33AE">
      <w:pPr>
        <w:pStyle w:val="FootnoteText"/>
        <w:spacing w:after="240"/>
        <w:jc w:val="both"/>
        <w:rPr>
          <w:sz w:val="22"/>
          <w:szCs w:val="22"/>
        </w:rPr>
      </w:pPr>
      <w:r w:rsidRPr="00185E43">
        <w:rPr>
          <w:rStyle w:val="FootnoteReference"/>
          <w:sz w:val="22"/>
          <w:szCs w:val="22"/>
        </w:rPr>
        <w:footnoteRef/>
      </w:r>
      <w:r w:rsidRPr="00185E43">
        <w:rPr>
          <w:sz w:val="22"/>
          <w:szCs w:val="22"/>
        </w:rPr>
        <w:t xml:space="preserve"> Stern at 48-52; Issues Brief at 3-5, 35-36.</w:t>
      </w:r>
    </w:p>
  </w:footnote>
  <w:footnote w:id="8">
    <w:p w:rsidR="00BC555C" w:rsidRPr="00185E43" w:rsidRDefault="00BC555C" w:rsidP="009F33AE">
      <w:pPr>
        <w:pStyle w:val="FootnoteText"/>
        <w:spacing w:after="240"/>
        <w:jc w:val="both"/>
        <w:rPr>
          <w:sz w:val="22"/>
          <w:szCs w:val="22"/>
        </w:rPr>
      </w:pPr>
      <w:r w:rsidRPr="00185E43">
        <w:rPr>
          <w:rStyle w:val="FootnoteReference"/>
          <w:sz w:val="22"/>
          <w:szCs w:val="22"/>
        </w:rPr>
        <w:footnoteRef/>
      </w:r>
      <w:r w:rsidRPr="00185E43">
        <w:rPr>
          <w:sz w:val="22"/>
          <w:szCs w:val="22"/>
        </w:rPr>
        <w:t xml:space="preserve"> </w:t>
      </w:r>
      <w:r w:rsidRPr="00185E43">
        <w:rPr>
          <w:i/>
          <w:sz w:val="22"/>
          <w:szCs w:val="22"/>
        </w:rPr>
        <w:t>See</w:t>
      </w:r>
      <w:r w:rsidRPr="00185E43">
        <w:rPr>
          <w:sz w:val="22"/>
          <w:szCs w:val="22"/>
        </w:rPr>
        <w:t xml:space="preserve"> </w:t>
      </w:r>
      <w:r w:rsidRPr="00185E43">
        <w:rPr>
          <w:rFonts w:eastAsia="Times New Roman"/>
          <w:sz w:val="22"/>
          <w:szCs w:val="22"/>
          <w:lang w:eastAsia="en-US"/>
        </w:rPr>
        <w:t>N.Y. Exec. Law § 312</w:t>
      </w:r>
      <w:r w:rsidRPr="00185E43">
        <w:rPr>
          <w:sz w:val="22"/>
          <w:szCs w:val="22"/>
        </w:rPr>
        <w:t xml:space="preserve"> (prohibiting discrimination by all state contractors); </w:t>
      </w:r>
      <w:r w:rsidRPr="00185E43">
        <w:rPr>
          <w:i/>
          <w:sz w:val="22"/>
          <w:szCs w:val="22"/>
        </w:rPr>
        <w:t>see also Cath</w:t>
      </w:r>
      <w:r w:rsidRPr="00185E43">
        <w:rPr>
          <w:i/>
          <w:sz w:val="22"/>
          <w:szCs w:val="22"/>
        </w:rPr>
        <w:t>o</w:t>
      </w:r>
      <w:r w:rsidRPr="00185E43">
        <w:rPr>
          <w:i/>
          <w:sz w:val="22"/>
          <w:szCs w:val="22"/>
        </w:rPr>
        <w:t>lic Charities of Maine</w:t>
      </w:r>
      <w:r w:rsidRPr="00185E43">
        <w:rPr>
          <w:sz w:val="22"/>
          <w:szCs w:val="22"/>
        </w:rPr>
        <w:t xml:space="preserve"> v. </w:t>
      </w:r>
      <w:r w:rsidRPr="00185E43">
        <w:rPr>
          <w:i/>
          <w:sz w:val="22"/>
          <w:szCs w:val="22"/>
        </w:rPr>
        <w:t>City of Portland</w:t>
      </w:r>
      <w:r w:rsidRPr="00185E43">
        <w:rPr>
          <w:sz w:val="22"/>
          <w:szCs w:val="22"/>
        </w:rPr>
        <w:t>, 304 F. Supp. 2d 77 (D. Me. 2004) (upholding ordi</w:t>
      </w:r>
      <w:r w:rsidRPr="00185E43">
        <w:rPr>
          <w:sz w:val="22"/>
          <w:szCs w:val="22"/>
        </w:rPr>
        <w:t>n</w:t>
      </w:r>
      <w:r w:rsidRPr="00185E43">
        <w:rPr>
          <w:sz w:val="22"/>
          <w:szCs w:val="22"/>
        </w:rPr>
        <w:t xml:space="preserve">ance forcing religious charity either to extend employee spousal benefit programs to registered same-sex couples, or to lose access to all city housing and community development funds); Don </w:t>
      </w:r>
      <w:proofErr w:type="spellStart"/>
      <w:r w:rsidRPr="00185E43">
        <w:rPr>
          <w:sz w:val="22"/>
          <w:szCs w:val="22"/>
        </w:rPr>
        <w:t>Lattin</w:t>
      </w:r>
      <w:proofErr w:type="spellEnd"/>
      <w:r w:rsidRPr="00185E43">
        <w:rPr>
          <w:sz w:val="22"/>
          <w:szCs w:val="22"/>
        </w:rPr>
        <w:t xml:space="preserve">, </w:t>
      </w:r>
      <w:r w:rsidRPr="00185E43">
        <w:rPr>
          <w:i/>
          <w:sz w:val="22"/>
          <w:szCs w:val="22"/>
        </w:rPr>
        <w:t>Charities Balk at Domestic Partner, Open Meeting Laws</w:t>
      </w:r>
      <w:r w:rsidRPr="00185E43">
        <w:rPr>
          <w:sz w:val="22"/>
          <w:szCs w:val="22"/>
        </w:rPr>
        <w:t>,</w:t>
      </w:r>
      <w:r w:rsidRPr="00185E43">
        <w:rPr>
          <w:smallCaps/>
          <w:sz w:val="22"/>
          <w:szCs w:val="22"/>
        </w:rPr>
        <w:t xml:space="preserve"> S.F. Chron.</w:t>
      </w:r>
      <w:r w:rsidRPr="00185E43">
        <w:rPr>
          <w:sz w:val="22"/>
          <w:szCs w:val="22"/>
        </w:rPr>
        <w:t>, July 10, 1998, at A-1 (describing how the Salvation Army lost $3.5 million in social service contracts with the City of San Francisco because it refused, on religious grounds, to provide benefits to the same-sex partners of its employees).</w:t>
      </w:r>
    </w:p>
  </w:footnote>
  <w:footnote w:id="9">
    <w:p w:rsidR="00BC555C" w:rsidRPr="00185E43" w:rsidRDefault="00BC555C" w:rsidP="009F33AE">
      <w:pPr>
        <w:pStyle w:val="FootnoteText"/>
        <w:spacing w:after="240"/>
        <w:jc w:val="both"/>
        <w:rPr>
          <w:sz w:val="22"/>
          <w:szCs w:val="22"/>
        </w:rPr>
      </w:pPr>
      <w:r w:rsidRPr="00185E43">
        <w:rPr>
          <w:rStyle w:val="FootnoteReference"/>
          <w:sz w:val="22"/>
          <w:szCs w:val="22"/>
        </w:rPr>
        <w:footnoteRef/>
      </w:r>
      <w:r w:rsidRPr="00185E43">
        <w:rPr>
          <w:sz w:val="22"/>
          <w:szCs w:val="22"/>
        </w:rPr>
        <w:t xml:space="preserve"> </w:t>
      </w:r>
      <w:r w:rsidRPr="00185E43">
        <w:rPr>
          <w:i/>
          <w:sz w:val="22"/>
          <w:szCs w:val="22"/>
        </w:rPr>
        <w:t>See</w:t>
      </w:r>
      <w:r w:rsidRPr="00185E43">
        <w:rPr>
          <w:sz w:val="22"/>
          <w:szCs w:val="22"/>
        </w:rPr>
        <w:t xml:space="preserve"> </w:t>
      </w:r>
      <w:r w:rsidRPr="00185E43">
        <w:rPr>
          <w:i/>
          <w:sz w:val="22"/>
          <w:szCs w:val="22"/>
        </w:rPr>
        <w:t xml:space="preserve">Evans </w:t>
      </w:r>
      <w:r w:rsidRPr="00185E43">
        <w:rPr>
          <w:sz w:val="22"/>
          <w:szCs w:val="22"/>
        </w:rPr>
        <w:t>v.</w:t>
      </w:r>
      <w:r w:rsidRPr="00185E43">
        <w:rPr>
          <w:i/>
          <w:sz w:val="22"/>
          <w:szCs w:val="22"/>
        </w:rPr>
        <w:t xml:space="preserve"> City of Berkeley</w:t>
      </w:r>
      <w:r w:rsidRPr="00185E43">
        <w:rPr>
          <w:sz w:val="22"/>
          <w:szCs w:val="22"/>
        </w:rPr>
        <w:t xml:space="preserve">, 38 Cal.4th 1 (Cal. 2006) (affirming revocation of a boat berth subsidy at public marina due to Boy Scouts’ exclusion of atheist and openly gay members); </w:t>
      </w:r>
      <w:r w:rsidRPr="00185E43">
        <w:rPr>
          <w:i/>
          <w:sz w:val="22"/>
          <w:szCs w:val="22"/>
        </w:rPr>
        <w:t xml:space="preserve">Cradle of Liberty Council </w:t>
      </w:r>
      <w:r w:rsidRPr="00185E43">
        <w:rPr>
          <w:sz w:val="22"/>
          <w:szCs w:val="22"/>
        </w:rPr>
        <w:t>v.</w:t>
      </w:r>
      <w:r w:rsidRPr="00185E43">
        <w:rPr>
          <w:i/>
          <w:sz w:val="22"/>
          <w:szCs w:val="22"/>
        </w:rPr>
        <w:t xml:space="preserve"> City of Philadelphia</w:t>
      </w:r>
      <w:r w:rsidRPr="00185E43">
        <w:rPr>
          <w:sz w:val="22"/>
          <w:szCs w:val="22"/>
        </w:rPr>
        <w:t>, 2008 WL 4399025 (E.D. Pa. Sept. 25, 2008) (city terminated a lease with the Boy Scouts based on the Boy Scouts’ policies regarding hom</w:t>
      </w:r>
      <w:r w:rsidRPr="00185E43">
        <w:rPr>
          <w:sz w:val="22"/>
          <w:szCs w:val="22"/>
        </w:rPr>
        <w:t>o</w:t>
      </w:r>
      <w:r w:rsidRPr="00185E43">
        <w:rPr>
          <w:sz w:val="22"/>
          <w:szCs w:val="22"/>
        </w:rPr>
        <w:t xml:space="preserve">sexual conduct); </w:t>
      </w:r>
      <w:r w:rsidRPr="00185E43">
        <w:rPr>
          <w:i/>
          <w:sz w:val="22"/>
          <w:szCs w:val="22"/>
        </w:rPr>
        <w:t>Boy Scouts of America</w:t>
      </w:r>
      <w:r w:rsidRPr="00185E43">
        <w:rPr>
          <w:sz w:val="22"/>
          <w:szCs w:val="22"/>
        </w:rPr>
        <w:t xml:space="preserve"> v. </w:t>
      </w:r>
      <w:r w:rsidRPr="00185E43">
        <w:rPr>
          <w:i/>
          <w:sz w:val="22"/>
          <w:szCs w:val="22"/>
        </w:rPr>
        <w:t>Wyman</w:t>
      </w:r>
      <w:r w:rsidRPr="00185E43">
        <w:rPr>
          <w:sz w:val="22"/>
          <w:szCs w:val="22"/>
        </w:rPr>
        <w:t>, 335 F.3d 80 (2nd Cir. 2003) (holding that the Boy Scouts may be excluded from the state’s workplace charitable contributions campaign for denying membership to openly gay individuals).</w:t>
      </w:r>
    </w:p>
  </w:footnote>
  <w:footnote w:id="10">
    <w:p w:rsidR="00BC555C" w:rsidRPr="00185E43" w:rsidRDefault="00BC555C" w:rsidP="009F33AE">
      <w:pPr>
        <w:pStyle w:val="FootnoteText"/>
        <w:spacing w:after="240"/>
        <w:jc w:val="both"/>
        <w:rPr>
          <w:sz w:val="22"/>
          <w:szCs w:val="22"/>
        </w:rPr>
      </w:pPr>
      <w:r w:rsidRPr="00185E43">
        <w:rPr>
          <w:rStyle w:val="FootnoteReference"/>
          <w:sz w:val="22"/>
          <w:szCs w:val="22"/>
        </w:rPr>
        <w:footnoteRef/>
      </w:r>
      <w:r w:rsidRPr="00185E43">
        <w:rPr>
          <w:sz w:val="22"/>
          <w:szCs w:val="22"/>
        </w:rPr>
        <w:t xml:space="preserve"> Stern at 22-24 (noting that a refusal to provide counseling services to same-sex couples could be “considered a breach of professional standards and therefore grounds for the loss of a profe</w:t>
      </w:r>
      <w:r w:rsidRPr="00185E43">
        <w:rPr>
          <w:sz w:val="22"/>
          <w:szCs w:val="22"/>
        </w:rPr>
        <w:t>s</w:t>
      </w:r>
      <w:r w:rsidRPr="00185E43">
        <w:rPr>
          <w:sz w:val="22"/>
          <w:szCs w:val="22"/>
        </w:rPr>
        <w:t xml:space="preserve">sional license”); </w:t>
      </w:r>
      <w:r w:rsidRPr="00185E43">
        <w:rPr>
          <w:i/>
          <w:sz w:val="22"/>
          <w:szCs w:val="22"/>
        </w:rPr>
        <w:t>see also</w:t>
      </w:r>
      <w:r w:rsidRPr="00185E43">
        <w:rPr>
          <w:sz w:val="22"/>
          <w:szCs w:val="22"/>
        </w:rPr>
        <w:t xml:space="preserve"> Patricia </w:t>
      </w:r>
      <w:proofErr w:type="spellStart"/>
      <w:r w:rsidRPr="00185E43">
        <w:rPr>
          <w:sz w:val="22"/>
          <w:szCs w:val="22"/>
        </w:rPr>
        <w:t>Wen</w:t>
      </w:r>
      <w:proofErr w:type="spellEnd"/>
      <w:r w:rsidRPr="00185E43">
        <w:rPr>
          <w:sz w:val="22"/>
          <w:szCs w:val="22"/>
        </w:rPr>
        <w:t xml:space="preserve">, </w:t>
      </w:r>
      <w:r w:rsidRPr="00185E43">
        <w:rPr>
          <w:i/>
          <w:sz w:val="22"/>
          <w:szCs w:val="22"/>
        </w:rPr>
        <w:t>“They Cared for the Children”: Amid Shifting Social Winds, Catholic Charities Prepares to End Its 103 Years of Finding Homes for Foster Children and Evolving Families</w:t>
      </w:r>
      <w:r w:rsidRPr="00185E43">
        <w:rPr>
          <w:sz w:val="22"/>
          <w:szCs w:val="22"/>
        </w:rPr>
        <w:t xml:space="preserve">, </w:t>
      </w:r>
      <w:r w:rsidRPr="00185E43">
        <w:rPr>
          <w:smallCaps/>
          <w:sz w:val="22"/>
          <w:szCs w:val="22"/>
        </w:rPr>
        <w:t>Boston Globe</w:t>
      </w:r>
      <w:r w:rsidRPr="00185E43">
        <w:rPr>
          <w:sz w:val="22"/>
          <w:szCs w:val="22"/>
        </w:rPr>
        <w:t xml:space="preserve">, June 25, 2006, at A1 (explaining how Massachusetts threatened to revoke the adoption license of Catholic Charities for refusing on religious grounds to place foster children with same-sex couples); Robin Fretwell Wilson, </w:t>
      </w:r>
      <w:r w:rsidRPr="00185E43">
        <w:rPr>
          <w:i/>
          <w:color w:val="000000"/>
          <w:sz w:val="22"/>
          <w:szCs w:val="22"/>
        </w:rPr>
        <w:t>A Matter of Conviction: Moral Clashes Over Same-Sex Adoption</w:t>
      </w:r>
      <w:r w:rsidRPr="00185E43">
        <w:rPr>
          <w:color w:val="000000"/>
          <w:sz w:val="22"/>
          <w:szCs w:val="22"/>
        </w:rPr>
        <w:t xml:space="preserve">, 22 </w:t>
      </w:r>
      <w:r w:rsidRPr="00185E43">
        <w:rPr>
          <w:iCs/>
          <w:smallCaps/>
          <w:color w:val="000000"/>
          <w:sz w:val="22"/>
          <w:szCs w:val="22"/>
        </w:rPr>
        <w:t>BYU J. Pub. L.</w:t>
      </w:r>
      <w:r w:rsidRPr="00185E43">
        <w:rPr>
          <w:i/>
          <w:iCs/>
          <w:color w:val="000000"/>
          <w:sz w:val="22"/>
          <w:szCs w:val="22"/>
        </w:rPr>
        <w:t xml:space="preserve"> </w:t>
      </w:r>
      <w:r w:rsidRPr="00185E43">
        <w:rPr>
          <w:color w:val="000000"/>
          <w:sz w:val="22"/>
          <w:szCs w:val="22"/>
        </w:rPr>
        <w:t>475 (2008) (describing dismissals and resignations of social services workers where conscience protections were not provided).</w:t>
      </w:r>
    </w:p>
  </w:footnote>
  <w:footnote w:id="11">
    <w:p w:rsidR="00BC555C" w:rsidRPr="00185E43" w:rsidRDefault="00BC555C" w:rsidP="009F33AE">
      <w:pPr>
        <w:pStyle w:val="FootnoteText"/>
        <w:spacing w:after="240"/>
        <w:jc w:val="both"/>
        <w:rPr>
          <w:sz w:val="22"/>
          <w:szCs w:val="22"/>
        </w:rPr>
      </w:pPr>
      <w:r w:rsidRPr="00185E43">
        <w:rPr>
          <w:rStyle w:val="FootnoteReference"/>
          <w:sz w:val="22"/>
          <w:szCs w:val="22"/>
        </w:rPr>
        <w:footnoteRef/>
      </w:r>
      <w:r w:rsidRPr="00185E43">
        <w:rPr>
          <w:sz w:val="22"/>
          <w:szCs w:val="22"/>
        </w:rPr>
        <w:t xml:space="preserve"> Stern at 19-22 (noting that many state regulators condition licenses on nondiscrimination r</w:t>
      </w:r>
      <w:r w:rsidRPr="00185E43">
        <w:rPr>
          <w:sz w:val="22"/>
          <w:szCs w:val="22"/>
        </w:rPr>
        <w:t>e</w:t>
      </w:r>
      <w:r w:rsidRPr="00185E43">
        <w:rPr>
          <w:sz w:val="22"/>
          <w:szCs w:val="22"/>
        </w:rPr>
        <w:t>quirements).</w:t>
      </w:r>
    </w:p>
  </w:footnote>
  <w:footnote w:id="12">
    <w:p w:rsidR="00BC555C" w:rsidRPr="00185E43" w:rsidRDefault="00BC555C" w:rsidP="009F33AE">
      <w:pPr>
        <w:pStyle w:val="FootnoteText"/>
        <w:spacing w:after="240"/>
        <w:jc w:val="both"/>
        <w:rPr>
          <w:sz w:val="22"/>
          <w:szCs w:val="22"/>
        </w:rPr>
      </w:pPr>
      <w:r w:rsidRPr="00185E43">
        <w:rPr>
          <w:rStyle w:val="FootnoteReference"/>
          <w:sz w:val="22"/>
          <w:szCs w:val="22"/>
        </w:rPr>
        <w:footnoteRef/>
      </w:r>
      <w:r w:rsidRPr="00185E43">
        <w:rPr>
          <w:sz w:val="22"/>
          <w:szCs w:val="22"/>
        </w:rPr>
        <w:t xml:space="preserve"> Stern at 23 (describing how religiously affiliated law schools have unsuccessfully challenged diversity standards imposed by the American Bar Association as a condition of accreditation); D. Smith, </w:t>
      </w:r>
      <w:r w:rsidRPr="00185E43">
        <w:rPr>
          <w:i/>
          <w:sz w:val="22"/>
          <w:szCs w:val="22"/>
        </w:rPr>
        <w:t>Accreditation Committee Decides to Keep Religious Exemption</w:t>
      </w:r>
      <w:r w:rsidRPr="00185E43">
        <w:rPr>
          <w:sz w:val="22"/>
          <w:szCs w:val="22"/>
        </w:rPr>
        <w:t xml:space="preserve">, 33 </w:t>
      </w:r>
      <w:r w:rsidRPr="00185E43">
        <w:rPr>
          <w:smallCaps/>
          <w:sz w:val="22"/>
          <w:szCs w:val="22"/>
        </w:rPr>
        <w:t>Monitor on Psychology</w:t>
      </w:r>
      <w:r w:rsidRPr="00185E43">
        <w:rPr>
          <w:sz w:val="22"/>
          <w:szCs w:val="22"/>
        </w:rPr>
        <w:t xml:space="preserve"> 1 (Jan. 2002) (describing a proposal of the American Psychology Association to revoke the accreditation of religious colleges and universities that have codes of conduct fo</w:t>
      </w:r>
      <w:r w:rsidRPr="00185E43">
        <w:rPr>
          <w:sz w:val="22"/>
          <w:szCs w:val="22"/>
        </w:rPr>
        <w:t>r</w:t>
      </w:r>
      <w:r w:rsidRPr="00185E43">
        <w:rPr>
          <w:sz w:val="22"/>
          <w:szCs w:val="22"/>
        </w:rPr>
        <w:t xml:space="preserve">bidding homosexual behavior), available at </w:t>
      </w:r>
      <w:hyperlink r:id="rId2" w:history="1">
        <w:r w:rsidRPr="007F6E99">
          <w:rPr>
            <w:rStyle w:val="Hyperlink"/>
            <w:color w:val="auto"/>
            <w:sz w:val="22"/>
            <w:szCs w:val="22"/>
          </w:rPr>
          <w:t>http://www.apa.org/monitor/jan02/exemption.html</w:t>
        </w:r>
      </w:hyperlink>
      <w:r w:rsidRPr="007F6E99">
        <w:rPr>
          <w:sz w:val="22"/>
          <w:szCs w:val="22"/>
        </w:rPr>
        <w:t>.</w:t>
      </w:r>
      <w:r w:rsidRPr="00185E43">
        <w:rPr>
          <w:sz w:val="22"/>
          <w:szCs w:val="22"/>
        </w:rPr>
        <w:t xml:space="preserve">  </w:t>
      </w:r>
    </w:p>
  </w:footnote>
  <w:footnote w:id="13">
    <w:p w:rsidR="00BC555C" w:rsidRPr="00185E43" w:rsidRDefault="00BC555C" w:rsidP="009F33AE">
      <w:pPr>
        <w:pStyle w:val="FootnoteText"/>
        <w:spacing w:after="240"/>
        <w:jc w:val="both"/>
        <w:rPr>
          <w:sz w:val="22"/>
          <w:szCs w:val="22"/>
        </w:rPr>
      </w:pPr>
      <w:r w:rsidRPr="00185E43">
        <w:rPr>
          <w:rStyle w:val="FootnoteReference"/>
          <w:sz w:val="22"/>
          <w:szCs w:val="22"/>
        </w:rPr>
        <w:footnoteRef/>
      </w:r>
      <w:r w:rsidRPr="00185E43">
        <w:rPr>
          <w:sz w:val="22"/>
          <w:szCs w:val="22"/>
        </w:rPr>
        <w:t xml:space="preserve"> Jill P. </w:t>
      </w:r>
      <w:proofErr w:type="spellStart"/>
      <w:r w:rsidRPr="00185E43">
        <w:rPr>
          <w:sz w:val="22"/>
          <w:szCs w:val="22"/>
        </w:rPr>
        <w:t>Capuzzo</w:t>
      </w:r>
      <w:proofErr w:type="spellEnd"/>
      <w:r w:rsidRPr="00185E43">
        <w:rPr>
          <w:sz w:val="22"/>
          <w:szCs w:val="22"/>
        </w:rPr>
        <w:t xml:space="preserve">, </w:t>
      </w:r>
      <w:r w:rsidRPr="00185E43">
        <w:rPr>
          <w:i/>
          <w:sz w:val="22"/>
          <w:szCs w:val="22"/>
        </w:rPr>
        <w:t>Group Loses Tax Break Over Gay Union Issue</w:t>
      </w:r>
      <w:r w:rsidRPr="00185E43">
        <w:rPr>
          <w:sz w:val="22"/>
          <w:szCs w:val="22"/>
        </w:rPr>
        <w:t xml:space="preserve">, </w:t>
      </w:r>
      <w:r w:rsidRPr="00185E43">
        <w:rPr>
          <w:smallCaps/>
          <w:sz w:val="22"/>
          <w:szCs w:val="22"/>
        </w:rPr>
        <w:t>N.Y. Times</w:t>
      </w:r>
      <w:r w:rsidRPr="00185E43">
        <w:rPr>
          <w:sz w:val="22"/>
          <w:szCs w:val="22"/>
        </w:rPr>
        <w:t xml:space="preserve">, Sept. 18, 2007 (describing the case of </w:t>
      </w:r>
      <w:r w:rsidRPr="00185E43">
        <w:rPr>
          <w:i/>
          <w:sz w:val="22"/>
          <w:szCs w:val="22"/>
        </w:rPr>
        <w:t>Bernstein</w:t>
      </w:r>
      <w:r w:rsidRPr="00185E43">
        <w:rPr>
          <w:sz w:val="22"/>
          <w:szCs w:val="22"/>
        </w:rPr>
        <w:t xml:space="preserve"> v. </w:t>
      </w:r>
      <w:r w:rsidRPr="00185E43">
        <w:rPr>
          <w:i/>
          <w:sz w:val="22"/>
          <w:szCs w:val="22"/>
        </w:rPr>
        <w:t xml:space="preserve">Ocean Grove Camp Meeting </w:t>
      </w:r>
      <w:proofErr w:type="spellStart"/>
      <w:r w:rsidRPr="00185E43">
        <w:rPr>
          <w:i/>
          <w:sz w:val="22"/>
          <w:szCs w:val="22"/>
        </w:rPr>
        <w:t>Ass’n</w:t>
      </w:r>
      <w:proofErr w:type="spellEnd"/>
      <w:r w:rsidRPr="00185E43">
        <w:rPr>
          <w:sz w:val="22"/>
          <w:szCs w:val="22"/>
        </w:rPr>
        <w:t xml:space="preserve">, in which the state of New Jersey revoked the property tax exemption of a beach-side pavilion owned and operated by a Methodist Church, because the Church refused on religious grounds to host a same-sex civil union ceremony); Douglas W. </w:t>
      </w:r>
      <w:proofErr w:type="spellStart"/>
      <w:r w:rsidRPr="00185E43">
        <w:rPr>
          <w:sz w:val="22"/>
          <w:szCs w:val="22"/>
        </w:rPr>
        <w:t>Kmiec</w:t>
      </w:r>
      <w:proofErr w:type="spellEnd"/>
      <w:r w:rsidRPr="00185E43">
        <w:rPr>
          <w:sz w:val="22"/>
          <w:szCs w:val="22"/>
        </w:rPr>
        <w:t xml:space="preserve">, Pepperdine Law School, </w:t>
      </w:r>
      <w:r w:rsidRPr="00185E43">
        <w:rPr>
          <w:i/>
          <w:sz w:val="22"/>
          <w:szCs w:val="22"/>
        </w:rPr>
        <w:t xml:space="preserve">Same-Sex Marriage and the Coming Antidiscrimination Campaigns Against Religion </w:t>
      </w:r>
      <w:r w:rsidRPr="00185E43">
        <w:rPr>
          <w:sz w:val="22"/>
          <w:szCs w:val="22"/>
        </w:rPr>
        <w:t xml:space="preserve">in </w:t>
      </w:r>
      <w:r w:rsidRPr="00185E43">
        <w:rPr>
          <w:smallCaps/>
          <w:sz w:val="22"/>
          <w:szCs w:val="22"/>
        </w:rPr>
        <w:t>Same-Sex Marriage and Rel</w:t>
      </w:r>
      <w:r w:rsidRPr="00185E43">
        <w:rPr>
          <w:smallCaps/>
          <w:sz w:val="22"/>
          <w:szCs w:val="22"/>
        </w:rPr>
        <w:t>i</w:t>
      </w:r>
      <w:r w:rsidRPr="00185E43">
        <w:rPr>
          <w:smallCaps/>
          <w:sz w:val="22"/>
          <w:szCs w:val="22"/>
        </w:rPr>
        <w:t xml:space="preserve">gious Liberty: Emerging Conflicts 107-121 </w:t>
      </w:r>
      <w:r w:rsidRPr="00185E43">
        <w:rPr>
          <w:sz w:val="22"/>
          <w:szCs w:val="22"/>
        </w:rPr>
        <w:t>(describing attacks on tax exemptions for rel</w:t>
      </w:r>
      <w:r w:rsidRPr="00185E43">
        <w:rPr>
          <w:sz w:val="22"/>
          <w:szCs w:val="22"/>
        </w:rPr>
        <w:t>i</w:t>
      </w:r>
      <w:r w:rsidRPr="00185E43">
        <w:rPr>
          <w:sz w:val="22"/>
          <w:szCs w:val="22"/>
        </w:rPr>
        <w:t>gious organizations with objections to same-sex marriage); Jonathan Turley, George Washin</w:t>
      </w:r>
      <w:r w:rsidRPr="00185E43">
        <w:rPr>
          <w:sz w:val="22"/>
          <w:szCs w:val="22"/>
        </w:rPr>
        <w:t>g</w:t>
      </w:r>
      <w:r w:rsidRPr="00185E43">
        <w:rPr>
          <w:sz w:val="22"/>
          <w:szCs w:val="22"/>
        </w:rPr>
        <w:t xml:space="preserve">ton University Law School, </w:t>
      </w:r>
      <w:r w:rsidRPr="00185E43">
        <w:rPr>
          <w:i/>
          <w:sz w:val="22"/>
          <w:szCs w:val="22"/>
        </w:rPr>
        <w:t>An Unholy Union</w:t>
      </w:r>
      <w:r w:rsidRPr="00185E43">
        <w:rPr>
          <w:sz w:val="22"/>
          <w:szCs w:val="22"/>
        </w:rPr>
        <w:t xml:space="preserve"> in </w:t>
      </w:r>
      <w:r w:rsidRPr="00185E43">
        <w:rPr>
          <w:smallCaps/>
          <w:sz w:val="22"/>
          <w:szCs w:val="22"/>
        </w:rPr>
        <w:t>Same-Sex Marriage and Religious Libe</w:t>
      </w:r>
      <w:r w:rsidRPr="00185E43">
        <w:rPr>
          <w:smallCaps/>
          <w:sz w:val="22"/>
          <w:szCs w:val="22"/>
        </w:rPr>
        <w:t>r</w:t>
      </w:r>
      <w:r w:rsidRPr="00185E43">
        <w:rPr>
          <w:smallCaps/>
          <w:sz w:val="22"/>
          <w:szCs w:val="22"/>
        </w:rPr>
        <w:t xml:space="preserve">ty: Emerging Conflicts </w:t>
      </w:r>
      <w:r w:rsidRPr="00185E43">
        <w:rPr>
          <w:sz w:val="22"/>
          <w:szCs w:val="22"/>
        </w:rPr>
        <w:t>59-76 (arguing for same-sex marriage but against withdrawal of tax exemptions for religious organizations with conscientious objections).</w:t>
      </w:r>
    </w:p>
  </w:footnote>
  <w:footnote w:id="14">
    <w:p w:rsidR="00BC555C" w:rsidRPr="007F6E99" w:rsidRDefault="00BC555C" w:rsidP="00207413">
      <w:pPr>
        <w:pStyle w:val="FootnoteText"/>
        <w:spacing w:after="240"/>
        <w:jc w:val="both"/>
        <w:rPr>
          <w:sz w:val="22"/>
          <w:szCs w:val="22"/>
        </w:rPr>
      </w:pPr>
      <w:r w:rsidRPr="00185E43">
        <w:rPr>
          <w:rStyle w:val="FootnoteReference"/>
          <w:sz w:val="22"/>
          <w:szCs w:val="22"/>
        </w:rPr>
        <w:footnoteRef/>
      </w:r>
      <w:r w:rsidRPr="00185E43">
        <w:rPr>
          <w:sz w:val="22"/>
          <w:szCs w:val="22"/>
        </w:rPr>
        <w:t xml:space="preserve"> </w:t>
      </w:r>
      <w:proofErr w:type="gramStart"/>
      <w:r w:rsidRPr="00185E43">
        <w:rPr>
          <w:sz w:val="22"/>
          <w:szCs w:val="22"/>
        </w:rPr>
        <w:t xml:space="preserve">A07732, available at </w:t>
      </w:r>
      <w:hyperlink r:id="rId3" w:history="1">
        <w:r w:rsidRPr="007F6E99">
          <w:rPr>
            <w:rStyle w:val="Hyperlink"/>
            <w:color w:val="auto"/>
            <w:sz w:val="22"/>
            <w:szCs w:val="22"/>
          </w:rPr>
          <w:t>http://assembly.state.ny.us/leg/?bn=A07732&amp;sh=t</w:t>
        </w:r>
      </w:hyperlink>
      <w:r w:rsidRPr="007F6E99">
        <w:rPr>
          <w:sz w:val="22"/>
          <w:szCs w:val="22"/>
        </w:rPr>
        <w:t>.</w:t>
      </w:r>
      <w:proofErr w:type="gramEnd"/>
    </w:p>
  </w:footnote>
  <w:footnote w:id="15">
    <w:p w:rsidR="00BC555C" w:rsidRPr="00185E43" w:rsidRDefault="00BC555C" w:rsidP="00207413">
      <w:pPr>
        <w:pStyle w:val="FootnoteText"/>
        <w:spacing w:after="240"/>
        <w:jc w:val="both"/>
        <w:rPr>
          <w:sz w:val="22"/>
          <w:szCs w:val="22"/>
        </w:rPr>
      </w:pPr>
      <w:r w:rsidRPr="00185E43">
        <w:rPr>
          <w:rStyle w:val="FootnoteReference"/>
          <w:sz w:val="22"/>
          <w:szCs w:val="22"/>
        </w:rPr>
        <w:footnoteRef/>
      </w:r>
      <w:r w:rsidRPr="00185E43">
        <w:rPr>
          <w:sz w:val="22"/>
          <w:szCs w:val="22"/>
        </w:rPr>
        <w:t xml:space="preserve"> </w:t>
      </w:r>
      <w:proofErr w:type="gramStart"/>
      <w:r w:rsidRPr="00185E43">
        <w:rPr>
          <w:sz w:val="22"/>
          <w:szCs w:val="22"/>
        </w:rPr>
        <w:t>Stern at 1.</w:t>
      </w:r>
      <w:proofErr w:type="gramEnd"/>
    </w:p>
  </w:footnote>
  <w:footnote w:id="16">
    <w:p w:rsidR="00BC555C" w:rsidRPr="00185E43" w:rsidRDefault="00BC555C" w:rsidP="00C63B9C">
      <w:pPr>
        <w:pStyle w:val="FootnoteText"/>
        <w:spacing w:after="240"/>
        <w:jc w:val="both"/>
        <w:rPr>
          <w:sz w:val="22"/>
          <w:szCs w:val="22"/>
        </w:rPr>
      </w:pPr>
      <w:r w:rsidRPr="00185E43">
        <w:rPr>
          <w:rStyle w:val="FootnoteReference"/>
          <w:sz w:val="22"/>
          <w:szCs w:val="22"/>
        </w:rPr>
        <w:footnoteRef/>
      </w:r>
      <w:r w:rsidRPr="00185E43">
        <w:rPr>
          <w:sz w:val="22"/>
          <w:szCs w:val="22"/>
        </w:rPr>
        <w:t xml:space="preserve"> </w:t>
      </w:r>
      <w:proofErr w:type="gramStart"/>
      <w:r w:rsidRPr="00185E43">
        <w:rPr>
          <w:i/>
          <w:sz w:val="22"/>
          <w:szCs w:val="22"/>
        </w:rPr>
        <w:t>See</w:t>
      </w:r>
      <w:r w:rsidRPr="00185E43">
        <w:rPr>
          <w:sz w:val="22"/>
          <w:szCs w:val="22"/>
        </w:rPr>
        <w:t xml:space="preserve">, </w:t>
      </w:r>
      <w:r w:rsidRPr="00185E43">
        <w:rPr>
          <w:i/>
          <w:sz w:val="22"/>
          <w:szCs w:val="22"/>
        </w:rPr>
        <w:t>e.g.</w:t>
      </w:r>
      <w:r w:rsidRPr="00185E43">
        <w:rPr>
          <w:sz w:val="22"/>
          <w:szCs w:val="22"/>
        </w:rPr>
        <w:t>, Laycock at 192-194 (describing “avoidable conflicts”).</w:t>
      </w:r>
      <w:proofErr w:type="gramEnd"/>
    </w:p>
  </w:footnote>
  <w:footnote w:id="17">
    <w:p w:rsidR="00BC555C" w:rsidRPr="00185E43" w:rsidRDefault="00BC555C" w:rsidP="00C63B9C">
      <w:pPr>
        <w:pStyle w:val="FootnoteText"/>
        <w:spacing w:after="240"/>
        <w:jc w:val="both"/>
        <w:rPr>
          <w:sz w:val="22"/>
          <w:szCs w:val="22"/>
        </w:rPr>
      </w:pPr>
      <w:r w:rsidRPr="00185E43">
        <w:rPr>
          <w:rStyle w:val="FootnoteReference"/>
          <w:sz w:val="22"/>
          <w:szCs w:val="22"/>
        </w:rPr>
        <w:footnoteRef/>
      </w:r>
      <w:r w:rsidRPr="00185E43">
        <w:rPr>
          <w:sz w:val="22"/>
          <w:szCs w:val="22"/>
        </w:rPr>
        <w:t xml:space="preserve"> David </w:t>
      </w:r>
      <w:proofErr w:type="spellStart"/>
      <w:r w:rsidRPr="00185E43">
        <w:rPr>
          <w:sz w:val="22"/>
          <w:szCs w:val="22"/>
        </w:rPr>
        <w:t>Blankenhorn</w:t>
      </w:r>
      <w:proofErr w:type="spellEnd"/>
      <w:r w:rsidRPr="00185E43">
        <w:rPr>
          <w:sz w:val="22"/>
          <w:szCs w:val="22"/>
        </w:rPr>
        <w:t xml:space="preserve"> and Jonathan Rauch, </w:t>
      </w:r>
      <w:r w:rsidRPr="00185E43">
        <w:rPr>
          <w:i/>
          <w:sz w:val="22"/>
          <w:szCs w:val="22"/>
        </w:rPr>
        <w:t>A Reconciliation on Gay Marriage</w:t>
      </w:r>
      <w:r w:rsidRPr="00185E43">
        <w:rPr>
          <w:sz w:val="22"/>
          <w:szCs w:val="22"/>
        </w:rPr>
        <w:t xml:space="preserve">, </w:t>
      </w:r>
      <w:r w:rsidRPr="00185E43">
        <w:rPr>
          <w:smallCaps/>
          <w:sz w:val="22"/>
          <w:szCs w:val="22"/>
        </w:rPr>
        <w:t>New York Times</w:t>
      </w:r>
      <w:r w:rsidRPr="00185E43">
        <w:rPr>
          <w:sz w:val="22"/>
          <w:szCs w:val="22"/>
        </w:rPr>
        <w:t xml:space="preserve">, Feb. 22, 2009, at WK11, available </w:t>
      </w:r>
      <w:r w:rsidRPr="007F6E99">
        <w:rPr>
          <w:sz w:val="22"/>
          <w:szCs w:val="22"/>
        </w:rPr>
        <w:t xml:space="preserve">at </w:t>
      </w:r>
      <w:hyperlink r:id="rId4" w:history="1">
        <w:r w:rsidRPr="007F6E99">
          <w:rPr>
            <w:rStyle w:val="Hyperlink"/>
            <w:color w:val="auto"/>
            <w:sz w:val="22"/>
            <w:szCs w:val="22"/>
          </w:rPr>
          <w:t>http://www.nytimes.com/2009/02/22/opinion/</w:t>
        </w:r>
        <w:r w:rsidRPr="007F6E99">
          <w:rPr>
            <w:sz w:val="22"/>
            <w:szCs w:val="22"/>
          </w:rPr>
          <w:br w:type="textWrapping" w:clear="all"/>
        </w:r>
        <w:r w:rsidRPr="007F6E99">
          <w:rPr>
            <w:rStyle w:val="Hyperlink"/>
            <w:color w:val="auto"/>
            <w:sz w:val="22"/>
            <w:szCs w:val="22"/>
          </w:rPr>
          <w:t>22rauch.html?_r=1</w:t>
        </w:r>
      </w:hyperlink>
      <w:r w:rsidRPr="00185E43">
        <w:rPr>
          <w:sz w:val="22"/>
          <w:szCs w:val="22"/>
        </w:rPr>
        <w:t xml:space="preserve"> (arguing for recognition of same-sex unions together with religious-conscience protections).</w:t>
      </w:r>
    </w:p>
  </w:footnote>
  <w:footnote w:id="18">
    <w:p w:rsidR="00BC555C" w:rsidRPr="00185E43" w:rsidRDefault="00BC555C" w:rsidP="002124C8">
      <w:pPr>
        <w:pStyle w:val="FootnoteText"/>
        <w:rPr>
          <w:sz w:val="22"/>
          <w:szCs w:val="22"/>
        </w:rPr>
      </w:pPr>
      <w:r w:rsidRPr="00185E43">
        <w:rPr>
          <w:rStyle w:val="FootnoteReference"/>
          <w:sz w:val="22"/>
          <w:szCs w:val="22"/>
        </w:rPr>
        <w:footnoteRef/>
      </w:r>
      <w:r w:rsidRPr="00185E43">
        <w:rPr>
          <w:sz w:val="22"/>
          <w:szCs w:val="22"/>
        </w:rPr>
        <w:t xml:space="preserve">  </w:t>
      </w:r>
      <w:r>
        <w:rPr>
          <w:sz w:val="22"/>
          <w:szCs w:val="22"/>
        </w:rPr>
        <w:t xml:space="preserve">Yesterday, </w:t>
      </w:r>
      <w:smartTag w:uri="urn:schemas-microsoft-com:office:smarttags" w:element="State">
        <w:smartTag w:uri="urn:schemas-microsoft-com:office:smarttags" w:element="place">
          <w:r>
            <w:rPr>
              <w:sz w:val="22"/>
              <w:szCs w:val="22"/>
            </w:rPr>
            <w:t>Maine</w:t>
          </w:r>
        </w:smartTag>
      </w:smartTag>
      <w:r>
        <w:rPr>
          <w:sz w:val="22"/>
          <w:szCs w:val="22"/>
        </w:rPr>
        <w:t xml:space="preserve"> passed a same-sex marriage law without significant religious accommod</w:t>
      </w:r>
      <w:r>
        <w:rPr>
          <w:sz w:val="22"/>
          <w:szCs w:val="22"/>
        </w:rPr>
        <w:t>a</w:t>
      </w:r>
      <w:r>
        <w:rPr>
          <w:sz w:val="22"/>
          <w:szCs w:val="22"/>
        </w:rPr>
        <w:t xml:space="preserve">tions.  </w:t>
      </w:r>
      <w:r w:rsidRPr="00185E43">
        <w:rPr>
          <w:i/>
          <w:sz w:val="22"/>
          <w:szCs w:val="22"/>
        </w:rPr>
        <w:t>See</w:t>
      </w:r>
      <w:r w:rsidRPr="00185E43">
        <w:rPr>
          <w:sz w:val="22"/>
          <w:szCs w:val="22"/>
        </w:rPr>
        <w:t xml:space="preserve"> </w:t>
      </w:r>
      <w:smartTag w:uri="urn:schemas-microsoft-com:office:smarttags" w:element="State">
        <w:smartTag w:uri="urn:schemas-microsoft-com:office:smarttags" w:element="place">
          <w:r w:rsidRPr="00185E43">
            <w:rPr>
              <w:sz w:val="22"/>
              <w:szCs w:val="22"/>
            </w:rPr>
            <w:t>Maine</w:t>
          </w:r>
        </w:smartTag>
      </w:smartTag>
      <w:r w:rsidRPr="00185E43">
        <w:rPr>
          <w:sz w:val="22"/>
          <w:szCs w:val="22"/>
        </w:rPr>
        <w:t xml:space="preserve"> PL 2009, c. 82, § 5.19.  </w:t>
      </w:r>
    </w:p>
    <w:p w:rsidR="00BC555C" w:rsidRPr="00185E43" w:rsidRDefault="00BC555C" w:rsidP="002124C8">
      <w:pPr>
        <w:pStyle w:val="FootnoteText"/>
        <w:rPr>
          <w:sz w:val="22"/>
          <w:szCs w:val="22"/>
        </w:rPr>
      </w:pPr>
    </w:p>
  </w:footnote>
  <w:footnote w:id="19">
    <w:p w:rsidR="00BC555C" w:rsidRPr="007F6E99" w:rsidRDefault="00BC555C" w:rsidP="007903D1">
      <w:pPr>
        <w:spacing w:after="240"/>
        <w:jc w:val="both"/>
        <w:rPr>
          <w:rFonts w:eastAsia="Times New Roman"/>
          <w:sz w:val="22"/>
          <w:szCs w:val="22"/>
          <w:lang w:eastAsia="en-US"/>
        </w:rPr>
      </w:pPr>
      <w:r w:rsidRPr="00185E43">
        <w:rPr>
          <w:rStyle w:val="FootnoteReference"/>
          <w:sz w:val="22"/>
          <w:szCs w:val="22"/>
        </w:rPr>
        <w:footnoteRef/>
      </w:r>
      <w:r w:rsidRPr="00185E43">
        <w:rPr>
          <w:sz w:val="22"/>
          <w:szCs w:val="22"/>
        </w:rPr>
        <w:t xml:space="preserve"> </w:t>
      </w:r>
      <w:r w:rsidRPr="00185E43">
        <w:rPr>
          <w:i/>
          <w:sz w:val="22"/>
          <w:szCs w:val="22"/>
        </w:rPr>
        <w:t xml:space="preserve">See </w:t>
      </w:r>
      <w:r w:rsidRPr="00185E43">
        <w:rPr>
          <w:sz w:val="22"/>
          <w:szCs w:val="22"/>
        </w:rPr>
        <w:t xml:space="preserve">18 </w:t>
      </w:r>
      <w:r w:rsidRPr="00185E43">
        <w:rPr>
          <w:smallCaps/>
          <w:sz w:val="22"/>
          <w:szCs w:val="22"/>
        </w:rPr>
        <w:t xml:space="preserve">Vt. </w:t>
      </w:r>
      <w:proofErr w:type="gramStart"/>
      <w:r w:rsidRPr="00185E43">
        <w:rPr>
          <w:smallCaps/>
          <w:sz w:val="22"/>
          <w:szCs w:val="22"/>
        </w:rPr>
        <w:t>Stat. Ann.</w:t>
      </w:r>
      <w:r w:rsidRPr="00185E43">
        <w:rPr>
          <w:sz w:val="22"/>
          <w:szCs w:val="22"/>
        </w:rPr>
        <w:t xml:space="preserve"> § 5144(b) (clergy solemnization); </w:t>
      </w:r>
      <w:r w:rsidRPr="00185E43">
        <w:rPr>
          <w:rFonts w:eastAsia="Times New Roman"/>
          <w:sz w:val="22"/>
          <w:szCs w:val="22"/>
          <w:lang w:eastAsia="en-US"/>
        </w:rPr>
        <w:t xml:space="preserve">8 </w:t>
      </w:r>
      <w:r w:rsidRPr="00185E43">
        <w:rPr>
          <w:smallCaps/>
          <w:sz w:val="22"/>
          <w:szCs w:val="22"/>
        </w:rPr>
        <w:t>Vt.</w:t>
      </w:r>
      <w:proofErr w:type="gramEnd"/>
      <w:r w:rsidRPr="00185E43">
        <w:rPr>
          <w:smallCaps/>
          <w:sz w:val="22"/>
          <w:szCs w:val="22"/>
        </w:rPr>
        <w:t xml:space="preserve"> </w:t>
      </w:r>
      <w:proofErr w:type="gramStart"/>
      <w:r w:rsidRPr="00185E43">
        <w:rPr>
          <w:smallCaps/>
          <w:sz w:val="22"/>
          <w:szCs w:val="22"/>
        </w:rPr>
        <w:t>Stat. Ann.</w:t>
      </w:r>
      <w:r w:rsidRPr="00185E43">
        <w:rPr>
          <w:sz w:val="22"/>
          <w:szCs w:val="22"/>
        </w:rPr>
        <w:t xml:space="preserve"> § </w:t>
      </w:r>
      <w:r w:rsidRPr="00185E43">
        <w:rPr>
          <w:rFonts w:eastAsia="Times New Roman"/>
          <w:sz w:val="22"/>
          <w:szCs w:val="22"/>
          <w:lang w:eastAsia="en-US"/>
        </w:rPr>
        <w:t>4501(b) (fr</w:t>
      </w:r>
      <w:r w:rsidRPr="00185E43">
        <w:rPr>
          <w:rFonts w:eastAsia="Times New Roman"/>
          <w:sz w:val="22"/>
          <w:szCs w:val="22"/>
          <w:lang w:eastAsia="en-US"/>
        </w:rPr>
        <w:t>a</w:t>
      </w:r>
      <w:r w:rsidRPr="00185E43">
        <w:rPr>
          <w:rFonts w:eastAsia="Times New Roman"/>
          <w:sz w:val="22"/>
          <w:szCs w:val="22"/>
          <w:lang w:eastAsia="en-US"/>
        </w:rPr>
        <w:t>ternal benefit societies); 9 </w:t>
      </w:r>
      <w:r w:rsidRPr="00185E43">
        <w:rPr>
          <w:smallCaps/>
          <w:sz w:val="22"/>
          <w:szCs w:val="22"/>
        </w:rPr>
        <w:t>Vt.</w:t>
      </w:r>
      <w:proofErr w:type="gramEnd"/>
      <w:r w:rsidRPr="00185E43">
        <w:rPr>
          <w:smallCaps/>
          <w:sz w:val="22"/>
          <w:szCs w:val="22"/>
        </w:rPr>
        <w:t xml:space="preserve"> Stat. Ann.</w:t>
      </w:r>
      <w:r w:rsidRPr="00185E43">
        <w:rPr>
          <w:sz w:val="22"/>
          <w:szCs w:val="22"/>
        </w:rPr>
        <w:t xml:space="preserve"> § </w:t>
      </w:r>
      <w:r w:rsidRPr="00185E43">
        <w:rPr>
          <w:rFonts w:eastAsia="Times New Roman"/>
          <w:sz w:val="22"/>
          <w:szCs w:val="22"/>
          <w:lang w:eastAsia="en-US"/>
        </w:rPr>
        <w:t>4502(l) (public accommodations laws not applied to accommodations related to the celebration or solemnization of marriage)</w:t>
      </w:r>
      <w:r w:rsidRPr="00185E43">
        <w:rPr>
          <w:sz w:val="22"/>
          <w:szCs w:val="22"/>
        </w:rPr>
        <w:t xml:space="preserve">, available at </w:t>
      </w:r>
      <w:hyperlink r:id="rId5" w:history="1">
        <w:r w:rsidRPr="007F6E99">
          <w:rPr>
            <w:rStyle w:val="Hyperlink"/>
            <w:color w:val="auto"/>
            <w:sz w:val="22"/>
            <w:szCs w:val="22"/>
          </w:rPr>
          <w:t>http://www.leg.state.vt.us/docs/2010/bills/Passed/S-115.pdf</w:t>
        </w:r>
      </w:hyperlink>
      <w:r w:rsidRPr="007F6E99">
        <w:rPr>
          <w:rFonts w:eastAsia="Times New Roman"/>
          <w:sz w:val="22"/>
          <w:szCs w:val="22"/>
          <w:lang w:eastAsia="en-US"/>
        </w:rPr>
        <w:t>.</w:t>
      </w:r>
    </w:p>
  </w:footnote>
  <w:footnote w:id="20">
    <w:p w:rsidR="00BC555C" w:rsidRPr="007F6E99" w:rsidRDefault="00BC555C" w:rsidP="007903D1">
      <w:pPr>
        <w:pStyle w:val="FootnoteText"/>
        <w:spacing w:after="240"/>
        <w:jc w:val="both"/>
        <w:rPr>
          <w:sz w:val="22"/>
          <w:szCs w:val="22"/>
        </w:rPr>
      </w:pPr>
      <w:r w:rsidRPr="00185E43">
        <w:rPr>
          <w:rStyle w:val="FootnoteReference"/>
          <w:sz w:val="22"/>
          <w:szCs w:val="22"/>
        </w:rPr>
        <w:footnoteRef/>
      </w:r>
      <w:r w:rsidRPr="00185E43">
        <w:rPr>
          <w:sz w:val="22"/>
          <w:szCs w:val="22"/>
        </w:rPr>
        <w:t xml:space="preserve"> </w:t>
      </w:r>
      <w:r w:rsidRPr="00185E43">
        <w:rPr>
          <w:i/>
          <w:sz w:val="22"/>
          <w:szCs w:val="22"/>
        </w:rPr>
        <w:t xml:space="preserve">See </w:t>
      </w:r>
      <w:r w:rsidRPr="00185E43">
        <w:rPr>
          <w:smallCaps/>
          <w:sz w:val="22"/>
          <w:szCs w:val="22"/>
        </w:rPr>
        <w:t xml:space="preserve">Conn. </w:t>
      </w:r>
      <w:proofErr w:type="gramStart"/>
      <w:r w:rsidRPr="00185E43">
        <w:rPr>
          <w:smallCaps/>
          <w:sz w:val="22"/>
          <w:szCs w:val="22"/>
        </w:rPr>
        <w:t>Public Act</w:t>
      </w:r>
      <w:r w:rsidRPr="00185E43">
        <w:rPr>
          <w:sz w:val="22"/>
          <w:szCs w:val="22"/>
        </w:rPr>
        <w:t xml:space="preserve"> 09-13 § 501, available at </w:t>
      </w:r>
      <w:hyperlink r:id="rId6" w:history="1">
        <w:r w:rsidRPr="007F6E99">
          <w:rPr>
            <w:rStyle w:val="Hyperlink"/>
            <w:color w:val="auto"/>
            <w:sz w:val="22"/>
            <w:szCs w:val="22"/>
          </w:rPr>
          <w:t>http://www.cga.ct.gov/2009/AMD/S/</w:t>
        </w:r>
        <w:r w:rsidRPr="007F6E99">
          <w:rPr>
            <w:sz w:val="22"/>
            <w:szCs w:val="22"/>
          </w:rPr>
          <w:br w:type="textWrapping" w:clear="all"/>
        </w:r>
        <w:r w:rsidRPr="007F6E99">
          <w:rPr>
            <w:rStyle w:val="Hyperlink"/>
            <w:color w:val="auto"/>
            <w:sz w:val="22"/>
            <w:szCs w:val="22"/>
          </w:rPr>
          <w:t>2009SB-00899-R00SA-AMD.htm</w:t>
        </w:r>
      </w:hyperlink>
      <w:r w:rsidRPr="007F6E99">
        <w:rPr>
          <w:sz w:val="22"/>
          <w:szCs w:val="22"/>
        </w:rPr>
        <w:t>.</w:t>
      </w:r>
      <w:proofErr w:type="gramEnd"/>
      <w:r w:rsidRPr="007F6E99">
        <w:rPr>
          <w:sz w:val="22"/>
          <w:szCs w:val="22"/>
        </w:rPr>
        <w:t xml:space="preserve"> </w:t>
      </w:r>
    </w:p>
  </w:footnote>
  <w:footnote w:id="21">
    <w:p w:rsidR="00BC555C" w:rsidRPr="007F6E99" w:rsidRDefault="00BC555C" w:rsidP="007903D1">
      <w:pPr>
        <w:pStyle w:val="FootnoteText"/>
        <w:spacing w:after="240"/>
        <w:jc w:val="both"/>
        <w:rPr>
          <w:sz w:val="22"/>
          <w:szCs w:val="22"/>
        </w:rPr>
      </w:pPr>
      <w:r w:rsidRPr="00185E43">
        <w:rPr>
          <w:rStyle w:val="FootnoteReference"/>
          <w:sz w:val="22"/>
          <w:szCs w:val="22"/>
        </w:rPr>
        <w:footnoteRef/>
      </w:r>
      <w:r w:rsidRPr="00185E43">
        <w:rPr>
          <w:sz w:val="22"/>
          <w:szCs w:val="22"/>
        </w:rPr>
        <w:t xml:space="preserve"> </w:t>
      </w:r>
      <w:r w:rsidRPr="00185E43">
        <w:rPr>
          <w:i/>
          <w:sz w:val="22"/>
          <w:szCs w:val="22"/>
        </w:rPr>
        <w:t xml:space="preserve">See </w:t>
      </w:r>
      <w:r w:rsidRPr="00185E43">
        <w:rPr>
          <w:smallCaps/>
          <w:sz w:val="22"/>
          <w:szCs w:val="22"/>
        </w:rPr>
        <w:t xml:space="preserve">Conn. </w:t>
      </w:r>
      <w:proofErr w:type="gramStart"/>
      <w:r w:rsidRPr="00185E43">
        <w:rPr>
          <w:smallCaps/>
          <w:sz w:val="22"/>
          <w:szCs w:val="22"/>
        </w:rPr>
        <w:t>Public Act</w:t>
      </w:r>
      <w:r w:rsidRPr="00185E43">
        <w:rPr>
          <w:sz w:val="22"/>
          <w:szCs w:val="22"/>
        </w:rPr>
        <w:t xml:space="preserve"> 09-13 § 503, available at </w:t>
      </w:r>
      <w:hyperlink r:id="rId7" w:history="1">
        <w:r w:rsidRPr="007F6E99">
          <w:rPr>
            <w:rStyle w:val="Hyperlink"/>
            <w:color w:val="auto"/>
            <w:sz w:val="22"/>
            <w:szCs w:val="22"/>
          </w:rPr>
          <w:t>http://www.cga.ct.gov/2009/AMD/S/</w:t>
        </w:r>
        <w:r w:rsidRPr="007F6E99">
          <w:rPr>
            <w:sz w:val="22"/>
            <w:szCs w:val="22"/>
          </w:rPr>
          <w:br w:type="textWrapping" w:clear="all"/>
        </w:r>
        <w:r w:rsidRPr="007F6E99">
          <w:rPr>
            <w:rStyle w:val="Hyperlink"/>
            <w:color w:val="auto"/>
            <w:sz w:val="22"/>
            <w:szCs w:val="22"/>
          </w:rPr>
          <w:t>2009SB-00899-R00SC-AMD.htm</w:t>
        </w:r>
      </w:hyperlink>
      <w:r w:rsidRPr="007F6E99">
        <w:rPr>
          <w:sz w:val="22"/>
          <w:szCs w:val="22"/>
        </w:rPr>
        <w:t>.</w:t>
      </w:r>
      <w:proofErr w:type="gramEnd"/>
      <w:r w:rsidRPr="007F6E99">
        <w:rPr>
          <w:sz w:val="22"/>
          <w:szCs w:val="22"/>
        </w:rPr>
        <w:t xml:space="preserve"> </w:t>
      </w:r>
    </w:p>
  </w:footnote>
  <w:footnote w:id="22">
    <w:p w:rsidR="00BC555C" w:rsidRPr="00185E43" w:rsidRDefault="00BC555C" w:rsidP="001D5303">
      <w:pPr>
        <w:autoSpaceDE w:val="0"/>
        <w:autoSpaceDN w:val="0"/>
        <w:adjustRightInd w:val="0"/>
        <w:jc w:val="both"/>
        <w:rPr>
          <w:sz w:val="22"/>
          <w:szCs w:val="22"/>
          <w:lang w:eastAsia="en-US"/>
        </w:rPr>
      </w:pPr>
      <w:r w:rsidRPr="00185E43">
        <w:rPr>
          <w:rStyle w:val="FootnoteReference"/>
          <w:sz w:val="22"/>
          <w:szCs w:val="22"/>
        </w:rPr>
        <w:footnoteRef/>
      </w:r>
      <w:r w:rsidRPr="00185E43">
        <w:rPr>
          <w:sz w:val="22"/>
          <w:szCs w:val="22"/>
        </w:rPr>
        <w:t xml:space="preserve">  </w:t>
      </w:r>
      <w:r w:rsidRPr="00185E43">
        <w:rPr>
          <w:rFonts w:eastAsia="Times New Roman"/>
          <w:sz w:val="22"/>
          <w:szCs w:val="22"/>
          <w:lang w:eastAsia="en-US"/>
        </w:rPr>
        <w:t>N.Y. Exec. Law § 296(11)</w:t>
      </w:r>
      <w:r w:rsidRPr="00185E43">
        <w:rPr>
          <w:sz w:val="22"/>
          <w:szCs w:val="22"/>
        </w:rPr>
        <w:t xml:space="preserve"> </w:t>
      </w:r>
      <w:r w:rsidRPr="00185E43">
        <w:rPr>
          <w:rFonts w:eastAsia="Times New Roman"/>
          <w:sz w:val="22"/>
          <w:szCs w:val="22"/>
          <w:lang w:eastAsia="en-US"/>
        </w:rPr>
        <w:t>(“</w:t>
      </w:r>
      <w:r w:rsidRPr="00185E43">
        <w:rPr>
          <w:rStyle w:val="documentbody"/>
          <w:sz w:val="22"/>
          <w:szCs w:val="22"/>
        </w:rPr>
        <w:t>Nothing contained in this section shall be construed to bar any religious or denominational institution or organization, or any organization operated for charit</w:t>
      </w:r>
      <w:r w:rsidRPr="00185E43">
        <w:rPr>
          <w:rStyle w:val="documentbody"/>
          <w:sz w:val="22"/>
          <w:szCs w:val="22"/>
        </w:rPr>
        <w:t>a</w:t>
      </w:r>
      <w:r w:rsidRPr="00185E43">
        <w:rPr>
          <w:rStyle w:val="documentbody"/>
          <w:sz w:val="22"/>
          <w:szCs w:val="22"/>
        </w:rPr>
        <w:t>ble or educational purposes, which is operated, supervised or controlled by or in connection with a religious organization, from limiting employment or sales or rental of housing accomm</w:t>
      </w:r>
      <w:r w:rsidRPr="00185E43">
        <w:rPr>
          <w:rStyle w:val="documentbody"/>
          <w:sz w:val="22"/>
          <w:szCs w:val="22"/>
        </w:rPr>
        <w:t>o</w:t>
      </w:r>
      <w:r w:rsidRPr="00185E43">
        <w:rPr>
          <w:rStyle w:val="documentbody"/>
          <w:sz w:val="22"/>
          <w:szCs w:val="22"/>
        </w:rPr>
        <w:t>dations or admission to or giving preference to persons of the same religion or denomination or from taking such action as is calculated by such organization to promote the religious principles for which it is established or maintained.</w:t>
      </w:r>
      <w:r w:rsidRPr="00185E43">
        <w:rPr>
          <w:sz w:val="22"/>
          <w:szCs w:val="22"/>
          <w:lang w:eastAsia="en-US"/>
        </w:rPr>
        <w:t>”).</w:t>
      </w:r>
    </w:p>
    <w:p w:rsidR="00BC555C" w:rsidRPr="00185E43" w:rsidRDefault="00BC555C" w:rsidP="001D5303">
      <w:pPr>
        <w:autoSpaceDE w:val="0"/>
        <w:autoSpaceDN w:val="0"/>
        <w:adjustRightInd w:val="0"/>
        <w:jc w:val="both"/>
        <w:rPr>
          <w:sz w:val="22"/>
          <w:szCs w:val="22"/>
        </w:rPr>
      </w:pPr>
    </w:p>
  </w:footnote>
  <w:footnote w:id="23">
    <w:p w:rsidR="00BC555C" w:rsidRPr="00185E43" w:rsidRDefault="00BC555C" w:rsidP="001D5303">
      <w:pPr>
        <w:pStyle w:val="FootnoteText"/>
        <w:spacing w:after="240"/>
        <w:jc w:val="both"/>
        <w:rPr>
          <w:sz w:val="22"/>
          <w:szCs w:val="22"/>
        </w:rPr>
      </w:pPr>
      <w:r w:rsidRPr="00185E43">
        <w:rPr>
          <w:rStyle w:val="FootnoteReference"/>
          <w:sz w:val="22"/>
          <w:szCs w:val="22"/>
        </w:rPr>
        <w:footnoteRef/>
      </w:r>
      <w:r w:rsidRPr="00185E43">
        <w:rPr>
          <w:sz w:val="22"/>
          <w:szCs w:val="22"/>
        </w:rPr>
        <w:t xml:space="preserve"> </w:t>
      </w:r>
      <w:r w:rsidRPr="00185E43">
        <w:rPr>
          <w:rStyle w:val="documentbody"/>
          <w:sz w:val="22"/>
          <w:szCs w:val="22"/>
        </w:rPr>
        <w:t xml:space="preserve">32 C.F.R. § 1630.11 (accommodating conscientious objectors to military service); 42 U.S.C. § 300a-7 (accommodating health care professionals who conscientiously object to participating in medical procedures such as abortion or sterilization); 42 U.S.C. § 2000bb </w:t>
      </w:r>
      <w:r w:rsidRPr="00185E43">
        <w:rPr>
          <w:rStyle w:val="documentbody"/>
          <w:i/>
          <w:sz w:val="22"/>
          <w:szCs w:val="22"/>
        </w:rPr>
        <w:t>et seq.</w:t>
      </w:r>
      <w:r w:rsidRPr="00185E43">
        <w:rPr>
          <w:sz w:val="22"/>
          <w:szCs w:val="22"/>
        </w:rPr>
        <w:t xml:space="preserve"> (Religious Freedom Restoration Act lifts government-created burdens on religious exercise).</w:t>
      </w:r>
    </w:p>
  </w:footnote>
  <w:footnote w:id="24">
    <w:p w:rsidR="00BC555C" w:rsidRPr="00185E43" w:rsidRDefault="00BC555C" w:rsidP="007A2E09">
      <w:pPr>
        <w:autoSpaceDE w:val="0"/>
        <w:autoSpaceDN w:val="0"/>
        <w:adjustRightInd w:val="0"/>
        <w:rPr>
          <w:sz w:val="22"/>
          <w:szCs w:val="22"/>
          <w:lang w:eastAsia="en-US"/>
        </w:rPr>
      </w:pPr>
      <w:r w:rsidRPr="00185E43">
        <w:rPr>
          <w:rStyle w:val="FootnoteReference"/>
          <w:sz w:val="22"/>
          <w:szCs w:val="22"/>
        </w:rPr>
        <w:footnoteRef/>
      </w:r>
      <w:r w:rsidRPr="00185E43">
        <w:rPr>
          <w:sz w:val="22"/>
          <w:szCs w:val="22"/>
        </w:rPr>
        <w:t xml:space="preserve"> </w:t>
      </w:r>
      <w:r w:rsidRPr="00185E43">
        <w:rPr>
          <w:i/>
          <w:sz w:val="22"/>
          <w:szCs w:val="22"/>
        </w:rPr>
        <w:t>See</w:t>
      </w:r>
      <w:r w:rsidRPr="00185E43">
        <w:rPr>
          <w:sz w:val="22"/>
          <w:szCs w:val="22"/>
        </w:rPr>
        <w:t xml:space="preserve"> </w:t>
      </w:r>
      <w:r w:rsidRPr="00185E43">
        <w:rPr>
          <w:rFonts w:eastAsia="Times New Roman"/>
          <w:sz w:val="22"/>
          <w:szCs w:val="22"/>
          <w:lang w:eastAsia="en-US"/>
        </w:rPr>
        <w:t xml:space="preserve">N.Y. Exec. </w:t>
      </w:r>
      <w:proofErr w:type="gramStart"/>
      <w:r w:rsidRPr="00185E43">
        <w:rPr>
          <w:rFonts w:eastAsia="Times New Roman"/>
          <w:sz w:val="22"/>
          <w:szCs w:val="22"/>
          <w:lang w:eastAsia="en-US"/>
        </w:rPr>
        <w:t>Law § 296(11)</w:t>
      </w:r>
      <w:r w:rsidRPr="00185E43">
        <w:rPr>
          <w:sz w:val="22"/>
          <w:szCs w:val="22"/>
          <w:lang w:eastAsia="en-US"/>
        </w:rPr>
        <w:t>.</w:t>
      </w:r>
      <w:proofErr w:type="gramEnd"/>
    </w:p>
    <w:p w:rsidR="00BC555C" w:rsidRPr="00185E43" w:rsidRDefault="00BC555C" w:rsidP="007A2E09">
      <w:pPr>
        <w:autoSpaceDE w:val="0"/>
        <w:autoSpaceDN w:val="0"/>
        <w:adjustRightInd w:val="0"/>
        <w:rPr>
          <w:sz w:val="22"/>
          <w:szCs w:val="22"/>
        </w:rPr>
      </w:pPr>
    </w:p>
  </w:footnote>
  <w:footnote w:id="25">
    <w:p w:rsidR="00BC555C" w:rsidRPr="007F6E99" w:rsidRDefault="00BC555C" w:rsidP="00114144">
      <w:pPr>
        <w:pStyle w:val="FootnoteText"/>
        <w:spacing w:after="240"/>
        <w:jc w:val="both"/>
        <w:rPr>
          <w:sz w:val="22"/>
          <w:szCs w:val="22"/>
        </w:rPr>
      </w:pPr>
      <w:r w:rsidRPr="00185E43">
        <w:rPr>
          <w:rStyle w:val="FootnoteReference"/>
          <w:sz w:val="22"/>
          <w:szCs w:val="22"/>
        </w:rPr>
        <w:footnoteRef/>
      </w:r>
      <w:r w:rsidRPr="00185E43">
        <w:rPr>
          <w:sz w:val="22"/>
          <w:szCs w:val="22"/>
        </w:rPr>
        <w:t xml:space="preserve"> </w:t>
      </w:r>
      <w:proofErr w:type="gramStart"/>
      <w:r w:rsidRPr="00185E43">
        <w:rPr>
          <w:sz w:val="22"/>
          <w:szCs w:val="22"/>
        </w:rPr>
        <w:t xml:space="preserve">9 </w:t>
      </w:r>
      <w:r w:rsidRPr="00185E43">
        <w:rPr>
          <w:smallCaps/>
          <w:sz w:val="22"/>
          <w:szCs w:val="22"/>
        </w:rPr>
        <w:t>Vt.</w:t>
      </w:r>
      <w:proofErr w:type="gramEnd"/>
      <w:r w:rsidRPr="00185E43">
        <w:rPr>
          <w:smallCaps/>
          <w:sz w:val="22"/>
          <w:szCs w:val="22"/>
        </w:rPr>
        <w:t xml:space="preserve"> Stat. Ann.</w:t>
      </w:r>
      <w:r w:rsidRPr="00185E43">
        <w:rPr>
          <w:sz w:val="22"/>
          <w:szCs w:val="22"/>
        </w:rPr>
        <w:t xml:space="preserve"> § 4502(l) (2009), available </w:t>
      </w:r>
      <w:r w:rsidRPr="007F6E99">
        <w:rPr>
          <w:sz w:val="22"/>
          <w:szCs w:val="22"/>
        </w:rPr>
        <w:t xml:space="preserve">at </w:t>
      </w:r>
      <w:hyperlink r:id="rId8" w:history="1">
        <w:r w:rsidRPr="007F6E99">
          <w:rPr>
            <w:rStyle w:val="Hyperlink"/>
            <w:color w:val="auto"/>
            <w:sz w:val="22"/>
            <w:szCs w:val="22"/>
          </w:rPr>
          <w:t>http://www.leg.state.vt.us/docs/2010/bills/</w:t>
        </w:r>
        <w:r w:rsidRPr="007F6E99">
          <w:rPr>
            <w:sz w:val="22"/>
            <w:szCs w:val="22"/>
          </w:rPr>
          <w:br w:type="textWrapping" w:clear="all"/>
        </w:r>
        <w:r w:rsidRPr="007F6E99">
          <w:rPr>
            <w:rStyle w:val="Hyperlink"/>
            <w:color w:val="auto"/>
            <w:sz w:val="22"/>
            <w:szCs w:val="22"/>
          </w:rPr>
          <w:t>Passed/S-115.pdf</w:t>
        </w:r>
      </w:hyperlink>
      <w:r w:rsidRPr="007F6E99">
        <w:rPr>
          <w:sz w:val="22"/>
          <w:szCs w:val="22"/>
        </w:rPr>
        <w:t xml:space="preserve">; </w:t>
      </w:r>
      <w:r w:rsidRPr="007F6E99">
        <w:rPr>
          <w:smallCaps/>
          <w:sz w:val="22"/>
          <w:szCs w:val="22"/>
        </w:rPr>
        <w:t xml:space="preserve">Conn. </w:t>
      </w:r>
      <w:proofErr w:type="gramStart"/>
      <w:r w:rsidRPr="007F6E99">
        <w:rPr>
          <w:smallCaps/>
          <w:sz w:val="22"/>
          <w:szCs w:val="22"/>
        </w:rPr>
        <w:t>Public Act</w:t>
      </w:r>
      <w:r w:rsidRPr="007F6E99">
        <w:rPr>
          <w:sz w:val="22"/>
          <w:szCs w:val="22"/>
        </w:rPr>
        <w:t xml:space="preserve"> 09-13 § 501, available at </w:t>
      </w:r>
      <w:hyperlink r:id="rId9" w:history="1">
        <w:r w:rsidRPr="007F6E99">
          <w:rPr>
            <w:rStyle w:val="Hyperlink"/>
            <w:color w:val="auto"/>
            <w:sz w:val="22"/>
            <w:szCs w:val="22"/>
          </w:rPr>
          <w:t>http://www.cga.ct.gov/2009/</w:t>
        </w:r>
        <w:r w:rsidRPr="007F6E99">
          <w:rPr>
            <w:sz w:val="22"/>
            <w:szCs w:val="22"/>
          </w:rPr>
          <w:br w:type="textWrapping" w:clear="all"/>
        </w:r>
        <w:r w:rsidRPr="007F6E99">
          <w:rPr>
            <w:rStyle w:val="Hyperlink"/>
            <w:color w:val="auto"/>
            <w:sz w:val="22"/>
            <w:szCs w:val="22"/>
          </w:rPr>
          <w:t>AMD/S/2009SB-00899-R00SA-AMD.htm</w:t>
        </w:r>
      </w:hyperlink>
      <w:r w:rsidRPr="007F6E99">
        <w:rPr>
          <w:sz w:val="22"/>
          <w:szCs w:val="22"/>
        </w:rPr>
        <w:t>.</w:t>
      </w:r>
      <w:proofErr w:type="gramEnd"/>
      <w:r w:rsidRPr="007F6E99">
        <w:rPr>
          <w:sz w:val="22"/>
          <w:szCs w:val="22"/>
        </w:rPr>
        <w:t xml:space="preserve"> </w:t>
      </w:r>
    </w:p>
  </w:footnote>
  <w:footnote w:id="26">
    <w:p w:rsidR="00BC555C" w:rsidRPr="00185E43" w:rsidRDefault="00BC555C" w:rsidP="00A13916">
      <w:pPr>
        <w:pStyle w:val="FootnoteText"/>
        <w:spacing w:after="240"/>
        <w:jc w:val="both"/>
        <w:rPr>
          <w:sz w:val="22"/>
          <w:szCs w:val="22"/>
        </w:rPr>
      </w:pPr>
      <w:r w:rsidRPr="00185E43">
        <w:rPr>
          <w:rStyle w:val="FootnoteReference"/>
          <w:sz w:val="22"/>
          <w:szCs w:val="22"/>
        </w:rPr>
        <w:footnoteRef/>
      </w:r>
      <w:r w:rsidRPr="00185E43">
        <w:rPr>
          <w:sz w:val="22"/>
          <w:szCs w:val="22"/>
        </w:rPr>
        <w:t xml:space="preserve"> </w:t>
      </w:r>
      <w:r w:rsidRPr="00185E43">
        <w:rPr>
          <w:i/>
          <w:sz w:val="22"/>
          <w:szCs w:val="22"/>
        </w:rPr>
        <w:t>See, e.g.</w:t>
      </w:r>
      <w:r w:rsidRPr="00185E43">
        <w:rPr>
          <w:sz w:val="22"/>
          <w:szCs w:val="22"/>
        </w:rPr>
        <w:t xml:space="preserve">, </w:t>
      </w:r>
      <w:r w:rsidRPr="00185E43">
        <w:rPr>
          <w:smallCaps/>
          <w:sz w:val="22"/>
          <w:szCs w:val="22"/>
        </w:rPr>
        <w:t>S.C. Code Ann.</w:t>
      </w:r>
      <w:r w:rsidRPr="00185E43">
        <w:rPr>
          <w:sz w:val="22"/>
          <w:szCs w:val="22"/>
        </w:rPr>
        <w:t xml:space="preserve"> §§ 44-41-40, -50 (2002) (“No private or non-governmental hospi</w:t>
      </w:r>
      <w:r w:rsidRPr="00185E43">
        <w:rPr>
          <w:sz w:val="22"/>
          <w:szCs w:val="22"/>
        </w:rPr>
        <w:t>t</w:t>
      </w:r>
      <w:r w:rsidRPr="00185E43">
        <w:rPr>
          <w:sz w:val="22"/>
          <w:szCs w:val="22"/>
        </w:rPr>
        <w:t xml:space="preserve">al or clinic shall be </w:t>
      </w:r>
      <w:proofErr w:type="gramStart"/>
      <w:r w:rsidRPr="00185E43">
        <w:rPr>
          <w:sz w:val="22"/>
          <w:szCs w:val="22"/>
        </w:rPr>
        <w:t>required .</w:t>
      </w:r>
      <w:proofErr w:type="gramEnd"/>
      <w:r w:rsidRPr="00185E43">
        <w:rPr>
          <w:sz w:val="22"/>
          <w:szCs w:val="22"/>
        </w:rPr>
        <w:t xml:space="preserve"> . . to permit their facilities to be utilized for the performance of abortions; </w:t>
      </w:r>
      <w:r w:rsidRPr="00185E43">
        <w:rPr>
          <w:i/>
          <w:sz w:val="22"/>
          <w:szCs w:val="22"/>
        </w:rPr>
        <w:t>provided</w:t>
      </w:r>
      <w:r w:rsidRPr="00185E43">
        <w:rPr>
          <w:sz w:val="22"/>
          <w:szCs w:val="22"/>
        </w:rPr>
        <w:t xml:space="preserve">, that no hospital or clinic shall refuse an emergency admittance.”); </w:t>
      </w:r>
      <w:r w:rsidRPr="00185E43">
        <w:rPr>
          <w:smallCaps/>
          <w:sz w:val="22"/>
          <w:szCs w:val="22"/>
        </w:rPr>
        <w:t>Tex. Occ. Code Ann.</w:t>
      </w:r>
      <w:r w:rsidRPr="00185E43">
        <w:rPr>
          <w:sz w:val="22"/>
          <w:szCs w:val="22"/>
        </w:rPr>
        <w:t xml:space="preserve"> § 103.004 (Vernon 2004) (“A private hospital or private health care facility is not required to make its facilities available for the performance of abortion unless a physician determines that the life of the mother is immediately endangered.”).</w:t>
      </w:r>
    </w:p>
  </w:footnote>
  <w:footnote w:id="27">
    <w:p w:rsidR="00BC555C" w:rsidRPr="00185E43" w:rsidRDefault="00BC555C" w:rsidP="00A13916">
      <w:pPr>
        <w:pStyle w:val="FootnoteText"/>
        <w:spacing w:after="240"/>
        <w:jc w:val="both"/>
        <w:rPr>
          <w:sz w:val="22"/>
          <w:szCs w:val="22"/>
        </w:rPr>
      </w:pPr>
      <w:r w:rsidRPr="00185E43">
        <w:rPr>
          <w:rStyle w:val="FootnoteReference"/>
          <w:sz w:val="22"/>
          <w:szCs w:val="22"/>
        </w:rPr>
        <w:footnoteRef/>
      </w:r>
      <w:r w:rsidRPr="00185E43">
        <w:rPr>
          <w:sz w:val="22"/>
          <w:szCs w:val="22"/>
        </w:rPr>
        <w:t xml:space="preserve"> Academic </w:t>
      </w:r>
      <w:r>
        <w:rPr>
          <w:sz w:val="22"/>
          <w:szCs w:val="22"/>
        </w:rPr>
        <w:t xml:space="preserve">and organizational </w:t>
      </w:r>
      <w:r w:rsidRPr="00185E43">
        <w:rPr>
          <w:sz w:val="22"/>
          <w:szCs w:val="22"/>
        </w:rPr>
        <w:t>affiliation is indicated for identification purposes only.  The universities</w:t>
      </w:r>
      <w:r>
        <w:rPr>
          <w:sz w:val="22"/>
          <w:szCs w:val="22"/>
        </w:rPr>
        <w:t xml:space="preserve"> and organizations</w:t>
      </w:r>
      <w:r w:rsidRPr="00185E43">
        <w:rPr>
          <w:sz w:val="22"/>
          <w:szCs w:val="22"/>
        </w:rPr>
        <w:t xml:space="preserve"> that employ the signers take no position on this or any other bill.</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555C" w:rsidRDefault="00D44262" w:rsidP="009F33AE">
    <w:pPr>
      <w:jc w:val="right"/>
    </w:pPr>
    <w:r>
      <w:t xml:space="preserve">Assemblyman </w:t>
    </w:r>
    <w:r w:rsidR="00371C2D">
      <w:t>Sheldon Silver</w:t>
    </w:r>
  </w:p>
  <w:p w:rsidR="00BC555C" w:rsidRDefault="00BC555C" w:rsidP="009F33AE">
    <w:pPr>
      <w:pStyle w:val="Header"/>
      <w:jc w:val="right"/>
    </w:pPr>
    <w:r>
      <w:t>May 8, 2009</w:t>
    </w:r>
  </w:p>
  <w:p w:rsidR="00BC555C" w:rsidRDefault="00BC555C" w:rsidP="009F33AE">
    <w:pPr>
      <w:pStyle w:val="Header"/>
      <w:jc w:val="right"/>
    </w:pPr>
    <w:r>
      <w:t xml:space="preserve">Page </w:t>
    </w:r>
    <w:fldSimple w:instr=" PAGE ">
      <w:r w:rsidR="00C52734">
        <w:rPr>
          <w:noProof/>
        </w:rPr>
        <w:t>2</w:t>
      </w:r>
    </w:fldSimple>
    <w:r>
      <w:t xml:space="preserve"> of </w:t>
    </w:r>
    <w:fldSimple w:instr=" NUMPAGES ">
      <w:r w:rsidR="00C52734">
        <w:rPr>
          <w:noProof/>
        </w:rPr>
        <w:t>9</w:t>
      </w:r>
    </w:fldSimple>
  </w:p>
  <w:p w:rsidR="00BC555C" w:rsidRDefault="00BC555C" w:rsidP="009F33AE">
    <w:pPr>
      <w:pStyle w:val="Header"/>
      <w:jc w:val="righ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C10960"/>
    <w:multiLevelType w:val="hybridMultilevel"/>
    <w:tmpl w:val="DA94F1EC"/>
    <w:lvl w:ilvl="0" w:tplc="B2D88310">
      <w:numFmt w:val="bullet"/>
      <w:lvlText w:val="-"/>
      <w:lvlJc w:val="left"/>
      <w:pPr>
        <w:ind w:left="1080" w:hanging="360"/>
      </w:pPr>
      <w:rPr>
        <w:rFonts w:ascii="Calibri" w:eastAsia="Times New Roman" w:hAnsi="Calibri" w:cs="Times New Roman" w:hint="default"/>
      </w:rPr>
    </w:lvl>
    <w:lvl w:ilvl="1" w:tplc="04090005">
      <w:start w:val="1"/>
      <w:numFmt w:val="bullet"/>
      <w:lvlText w:val=""/>
      <w:lvlJc w:val="left"/>
      <w:pPr>
        <w:tabs>
          <w:tab w:val="num" w:pos="1440"/>
        </w:tabs>
        <w:ind w:left="1440" w:hanging="360"/>
      </w:pPr>
      <w:rPr>
        <w:rFonts w:ascii="Wingdings" w:hAnsi="Wingdings"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ind w:left="3960" w:hanging="360"/>
      </w:pPr>
      <w:rPr>
        <w:rFonts w:ascii="Courier New" w:hAnsi="Courier New" w:cs="Symbol"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Symbol"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48077DB2"/>
    <w:multiLevelType w:val="hybridMultilevel"/>
    <w:tmpl w:val="C08EA92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Aria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Arial"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Arial"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58F57F1E"/>
    <w:multiLevelType w:val="hybridMultilevel"/>
    <w:tmpl w:val="09487FC2"/>
    <w:lvl w:ilvl="0" w:tplc="9724AC64">
      <w:start w:val="1"/>
      <w:numFmt w:val="low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autoHyphenation/>
  <w:drawingGridHorizontalSpacing w:val="120"/>
  <w:displayHorizontalDrawingGridEvery w:val="2"/>
  <w:characterSpacingControl w:val="doNotCompress"/>
  <w:hdrShapeDefaults>
    <o:shapedefaults v:ext="edit" spidmax="26625"/>
  </w:hdrShapeDefaults>
  <w:footnotePr>
    <w:footnote w:id="-1"/>
    <w:footnote w:id="0"/>
  </w:footnotePr>
  <w:endnotePr>
    <w:endnote w:id="-1"/>
    <w:endnote w:id="0"/>
  </w:endnotePr>
  <w:compat/>
  <w:rsids>
    <w:rsidRoot w:val="00FC64EF"/>
    <w:rsid w:val="00002AE2"/>
    <w:rsid w:val="000068E9"/>
    <w:rsid w:val="00023F57"/>
    <w:rsid w:val="00043A09"/>
    <w:rsid w:val="00044EEB"/>
    <w:rsid w:val="00051BEB"/>
    <w:rsid w:val="00056850"/>
    <w:rsid w:val="000667DA"/>
    <w:rsid w:val="00083777"/>
    <w:rsid w:val="000A3EAA"/>
    <w:rsid w:val="000C6399"/>
    <w:rsid w:val="000D1AC9"/>
    <w:rsid w:val="000F14E1"/>
    <w:rsid w:val="000F68BE"/>
    <w:rsid w:val="001112CB"/>
    <w:rsid w:val="00114144"/>
    <w:rsid w:val="00115011"/>
    <w:rsid w:val="0012254A"/>
    <w:rsid w:val="00123E77"/>
    <w:rsid w:val="00124DCD"/>
    <w:rsid w:val="001442D8"/>
    <w:rsid w:val="00145F36"/>
    <w:rsid w:val="00146457"/>
    <w:rsid w:val="00146FCE"/>
    <w:rsid w:val="0016071F"/>
    <w:rsid w:val="00164CF2"/>
    <w:rsid w:val="00177732"/>
    <w:rsid w:val="00185E43"/>
    <w:rsid w:val="001908FB"/>
    <w:rsid w:val="001B0A2B"/>
    <w:rsid w:val="001D4E4E"/>
    <w:rsid w:val="001D5303"/>
    <w:rsid w:val="001D611E"/>
    <w:rsid w:val="001E72B6"/>
    <w:rsid w:val="001F289A"/>
    <w:rsid w:val="00202748"/>
    <w:rsid w:val="00207413"/>
    <w:rsid w:val="002124C8"/>
    <w:rsid w:val="00220B7B"/>
    <w:rsid w:val="00227D56"/>
    <w:rsid w:val="00230CA2"/>
    <w:rsid w:val="0025401A"/>
    <w:rsid w:val="00254937"/>
    <w:rsid w:val="002736B8"/>
    <w:rsid w:val="00281F5E"/>
    <w:rsid w:val="00287E99"/>
    <w:rsid w:val="00291E3E"/>
    <w:rsid w:val="002A2554"/>
    <w:rsid w:val="002A5411"/>
    <w:rsid w:val="002C5822"/>
    <w:rsid w:val="002D2E3F"/>
    <w:rsid w:val="002D6749"/>
    <w:rsid w:val="002E0902"/>
    <w:rsid w:val="002E6E8A"/>
    <w:rsid w:val="00303FFC"/>
    <w:rsid w:val="00305855"/>
    <w:rsid w:val="00305BE0"/>
    <w:rsid w:val="00311DBD"/>
    <w:rsid w:val="00322619"/>
    <w:rsid w:val="00332DD7"/>
    <w:rsid w:val="00347332"/>
    <w:rsid w:val="003569F4"/>
    <w:rsid w:val="00371C2D"/>
    <w:rsid w:val="003726AD"/>
    <w:rsid w:val="00381DF5"/>
    <w:rsid w:val="00385DFD"/>
    <w:rsid w:val="003943BE"/>
    <w:rsid w:val="003A6A6F"/>
    <w:rsid w:val="003D21DC"/>
    <w:rsid w:val="003D3C01"/>
    <w:rsid w:val="003E23EE"/>
    <w:rsid w:val="003E46A7"/>
    <w:rsid w:val="003F6515"/>
    <w:rsid w:val="004139E4"/>
    <w:rsid w:val="00446E4E"/>
    <w:rsid w:val="00456A62"/>
    <w:rsid w:val="0045790D"/>
    <w:rsid w:val="004607A7"/>
    <w:rsid w:val="004617CC"/>
    <w:rsid w:val="004702C3"/>
    <w:rsid w:val="004864E9"/>
    <w:rsid w:val="00490D3C"/>
    <w:rsid w:val="004A536B"/>
    <w:rsid w:val="004C5102"/>
    <w:rsid w:val="004E4398"/>
    <w:rsid w:val="004F3EFB"/>
    <w:rsid w:val="004F7C26"/>
    <w:rsid w:val="00505985"/>
    <w:rsid w:val="0051020C"/>
    <w:rsid w:val="00510370"/>
    <w:rsid w:val="00512A82"/>
    <w:rsid w:val="00520029"/>
    <w:rsid w:val="0052017E"/>
    <w:rsid w:val="00525B6D"/>
    <w:rsid w:val="0053274B"/>
    <w:rsid w:val="00536EDD"/>
    <w:rsid w:val="00542963"/>
    <w:rsid w:val="00554494"/>
    <w:rsid w:val="005757A2"/>
    <w:rsid w:val="00575B0F"/>
    <w:rsid w:val="005914E3"/>
    <w:rsid w:val="005C261C"/>
    <w:rsid w:val="005C7BAD"/>
    <w:rsid w:val="005D1739"/>
    <w:rsid w:val="00602933"/>
    <w:rsid w:val="00613D3B"/>
    <w:rsid w:val="006308AF"/>
    <w:rsid w:val="0064104B"/>
    <w:rsid w:val="006505E9"/>
    <w:rsid w:val="0065644F"/>
    <w:rsid w:val="006646B6"/>
    <w:rsid w:val="00664A0F"/>
    <w:rsid w:val="006871F3"/>
    <w:rsid w:val="00692D78"/>
    <w:rsid w:val="006A2A53"/>
    <w:rsid w:val="006B00EB"/>
    <w:rsid w:val="006C0581"/>
    <w:rsid w:val="006D53FB"/>
    <w:rsid w:val="006F3DF0"/>
    <w:rsid w:val="007024E8"/>
    <w:rsid w:val="00706E0A"/>
    <w:rsid w:val="00706EE6"/>
    <w:rsid w:val="007360B0"/>
    <w:rsid w:val="0073616F"/>
    <w:rsid w:val="00745E8B"/>
    <w:rsid w:val="007520F7"/>
    <w:rsid w:val="00755CF3"/>
    <w:rsid w:val="007617F4"/>
    <w:rsid w:val="00776B22"/>
    <w:rsid w:val="00777685"/>
    <w:rsid w:val="00782CA9"/>
    <w:rsid w:val="007903D1"/>
    <w:rsid w:val="007A2E09"/>
    <w:rsid w:val="007B38C0"/>
    <w:rsid w:val="007C51F8"/>
    <w:rsid w:val="007D3EA0"/>
    <w:rsid w:val="007D6D25"/>
    <w:rsid w:val="007E2028"/>
    <w:rsid w:val="007E3125"/>
    <w:rsid w:val="007F6E99"/>
    <w:rsid w:val="0082702C"/>
    <w:rsid w:val="00857FE8"/>
    <w:rsid w:val="008620EB"/>
    <w:rsid w:val="00877C38"/>
    <w:rsid w:val="0088009F"/>
    <w:rsid w:val="00886A64"/>
    <w:rsid w:val="008A1187"/>
    <w:rsid w:val="008B2693"/>
    <w:rsid w:val="008C03F6"/>
    <w:rsid w:val="008C726C"/>
    <w:rsid w:val="008F1135"/>
    <w:rsid w:val="00900635"/>
    <w:rsid w:val="00907396"/>
    <w:rsid w:val="009107F9"/>
    <w:rsid w:val="0092662E"/>
    <w:rsid w:val="00943FBA"/>
    <w:rsid w:val="00945165"/>
    <w:rsid w:val="009500E4"/>
    <w:rsid w:val="00972005"/>
    <w:rsid w:val="009723D8"/>
    <w:rsid w:val="0097556F"/>
    <w:rsid w:val="00983B59"/>
    <w:rsid w:val="0099124E"/>
    <w:rsid w:val="00992F42"/>
    <w:rsid w:val="009935DB"/>
    <w:rsid w:val="009B4316"/>
    <w:rsid w:val="009C3A45"/>
    <w:rsid w:val="009C4682"/>
    <w:rsid w:val="009D22B7"/>
    <w:rsid w:val="009D6491"/>
    <w:rsid w:val="009E10E9"/>
    <w:rsid w:val="009E53BF"/>
    <w:rsid w:val="009E5C1E"/>
    <w:rsid w:val="009F33AE"/>
    <w:rsid w:val="009F5ED9"/>
    <w:rsid w:val="00A13916"/>
    <w:rsid w:val="00A14C43"/>
    <w:rsid w:val="00A22B53"/>
    <w:rsid w:val="00A234D3"/>
    <w:rsid w:val="00A24C28"/>
    <w:rsid w:val="00A318C6"/>
    <w:rsid w:val="00A33A1D"/>
    <w:rsid w:val="00A358C5"/>
    <w:rsid w:val="00A41979"/>
    <w:rsid w:val="00A51591"/>
    <w:rsid w:val="00A54C76"/>
    <w:rsid w:val="00A633FD"/>
    <w:rsid w:val="00A63FA8"/>
    <w:rsid w:val="00A70A9A"/>
    <w:rsid w:val="00A9338E"/>
    <w:rsid w:val="00A936C2"/>
    <w:rsid w:val="00AA48B3"/>
    <w:rsid w:val="00AB42CC"/>
    <w:rsid w:val="00AB5CA3"/>
    <w:rsid w:val="00AB799D"/>
    <w:rsid w:val="00AD19BB"/>
    <w:rsid w:val="00AE223E"/>
    <w:rsid w:val="00AF29C1"/>
    <w:rsid w:val="00B14C44"/>
    <w:rsid w:val="00B2039D"/>
    <w:rsid w:val="00B375C9"/>
    <w:rsid w:val="00B379DC"/>
    <w:rsid w:val="00B4496F"/>
    <w:rsid w:val="00B46296"/>
    <w:rsid w:val="00B51A16"/>
    <w:rsid w:val="00B65B0F"/>
    <w:rsid w:val="00B6785D"/>
    <w:rsid w:val="00B83696"/>
    <w:rsid w:val="00BA68A4"/>
    <w:rsid w:val="00BB4307"/>
    <w:rsid w:val="00BC555C"/>
    <w:rsid w:val="00BC643E"/>
    <w:rsid w:val="00BC795A"/>
    <w:rsid w:val="00BD177B"/>
    <w:rsid w:val="00BD38EB"/>
    <w:rsid w:val="00BD4430"/>
    <w:rsid w:val="00BE0CEF"/>
    <w:rsid w:val="00BE2186"/>
    <w:rsid w:val="00BF7640"/>
    <w:rsid w:val="00C04758"/>
    <w:rsid w:val="00C165EF"/>
    <w:rsid w:val="00C45228"/>
    <w:rsid w:val="00C52734"/>
    <w:rsid w:val="00C62BC6"/>
    <w:rsid w:val="00C63B9C"/>
    <w:rsid w:val="00C64687"/>
    <w:rsid w:val="00C656AD"/>
    <w:rsid w:val="00C87C85"/>
    <w:rsid w:val="00C92086"/>
    <w:rsid w:val="00CA7BF5"/>
    <w:rsid w:val="00CB32FD"/>
    <w:rsid w:val="00CC0707"/>
    <w:rsid w:val="00CD0F48"/>
    <w:rsid w:val="00CD34AA"/>
    <w:rsid w:val="00CE1953"/>
    <w:rsid w:val="00CF31DC"/>
    <w:rsid w:val="00CF6609"/>
    <w:rsid w:val="00D07CC2"/>
    <w:rsid w:val="00D104D6"/>
    <w:rsid w:val="00D118D3"/>
    <w:rsid w:val="00D360AA"/>
    <w:rsid w:val="00D44262"/>
    <w:rsid w:val="00D45558"/>
    <w:rsid w:val="00D473F1"/>
    <w:rsid w:val="00D8241D"/>
    <w:rsid w:val="00D8586E"/>
    <w:rsid w:val="00DA10DB"/>
    <w:rsid w:val="00DA4E6E"/>
    <w:rsid w:val="00DC4F4E"/>
    <w:rsid w:val="00DC6C12"/>
    <w:rsid w:val="00DC781F"/>
    <w:rsid w:val="00DD3075"/>
    <w:rsid w:val="00DD4F64"/>
    <w:rsid w:val="00DD54CF"/>
    <w:rsid w:val="00DE7368"/>
    <w:rsid w:val="00DF0670"/>
    <w:rsid w:val="00E2595C"/>
    <w:rsid w:val="00E26A98"/>
    <w:rsid w:val="00E32F18"/>
    <w:rsid w:val="00E403EE"/>
    <w:rsid w:val="00E40D0C"/>
    <w:rsid w:val="00E746FE"/>
    <w:rsid w:val="00E96722"/>
    <w:rsid w:val="00EA5F76"/>
    <w:rsid w:val="00EB7FEC"/>
    <w:rsid w:val="00EC4D05"/>
    <w:rsid w:val="00ED0E44"/>
    <w:rsid w:val="00EE13DB"/>
    <w:rsid w:val="00EF3C9F"/>
    <w:rsid w:val="00F210CF"/>
    <w:rsid w:val="00F47F6C"/>
    <w:rsid w:val="00F57966"/>
    <w:rsid w:val="00F64991"/>
    <w:rsid w:val="00F65384"/>
    <w:rsid w:val="00F90768"/>
    <w:rsid w:val="00FA5FCB"/>
    <w:rsid w:val="00FC3135"/>
    <w:rsid w:val="00FC64EF"/>
    <w:rsid w:val="00FD3A07"/>
    <w:rsid w:val="00FE45BB"/>
    <w:rsid w:val="00FE4DD5"/>
    <w:rsid w:val="00FF1FC5"/>
    <w:rsid w:val="00FF5FA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State"/>
  <w:smartTagType w:namespaceuri="urn:schemas-microsoft-com:office:smarttags" w:name="place"/>
  <w:shapeDefaults>
    <o:shapedefaults v:ext="edit" spidmax="2662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C64EF"/>
    <w:rPr>
      <w:rFonts w:eastAsia="SimSun"/>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FC64EF"/>
    <w:pPr>
      <w:tabs>
        <w:tab w:val="center" w:pos="4320"/>
        <w:tab w:val="right" w:pos="8640"/>
      </w:tabs>
    </w:pPr>
  </w:style>
  <w:style w:type="paragraph" w:styleId="Footer">
    <w:name w:val="footer"/>
    <w:basedOn w:val="Normal"/>
    <w:rsid w:val="00FC64EF"/>
    <w:pPr>
      <w:tabs>
        <w:tab w:val="center" w:pos="4320"/>
        <w:tab w:val="right" w:pos="8640"/>
      </w:tabs>
    </w:pPr>
  </w:style>
  <w:style w:type="paragraph" w:customStyle="1" w:styleId="imp-signature">
    <w:name w:val="imp-signature"/>
    <w:basedOn w:val="Normal"/>
    <w:rsid w:val="00FC64EF"/>
    <w:pPr>
      <w:spacing w:before="100" w:beforeAutospacing="1" w:after="100" w:afterAutospacing="1"/>
    </w:pPr>
    <w:rPr>
      <w:rFonts w:eastAsia="Calibri"/>
      <w:lang w:eastAsia="en-US"/>
    </w:rPr>
  </w:style>
  <w:style w:type="paragraph" w:styleId="FootnoteText">
    <w:name w:val="footnote text"/>
    <w:basedOn w:val="Normal"/>
    <w:link w:val="FootnoteTextChar"/>
    <w:rsid w:val="0060450C"/>
    <w:rPr>
      <w:sz w:val="20"/>
      <w:szCs w:val="20"/>
    </w:rPr>
  </w:style>
  <w:style w:type="character" w:customStyle="1" w:styleId="FootnoteTextChar">
    <w:name w:val="Footnote Text Char"/>
    <w:basedOn w:val="DefaultParagraphFont"/>
    <w:link w:val="FootnoteText"/>
    <w:rsid w:val="0060450C"/>
    <w:rPr>
      <w:rFonts w:eastAsia="SimSun"/>
      <w:lang w:eastAsia="zh-CN"/>
    </w:rPr>
  </w:style>
  <w:style w:type="character" w:styleId="FootnoteReference">
    <w:name w:val="footnote reference"/>
    <w:basedOn w:val="DefaultParagraphFont"/>
    <w:rsid w:val="0060450C"/>
    <w:rPr>
      <w:vertAlign w:val="superscript"/>
    </w:rPr>
  </w:style>
  <w:style w:type="paragraph" w:styleId="ListParagraph">
    <w:name w:val="List Paragraph"/>
    <w:basedOn w:val="Normal"/>
    <w:uiPriority w:val="34"/>
    <w:qFormat/>
    <w:rsid w:val="00BB6BE0"/>
    <w:pPr>
      <w:ind w:left="720"/>
    </w:pPr>
  </w:style>
  <w:style w:type="paragraph" w:styleId="NormalWeb">
    <w:name w:val="Normal (Web)"/>
    <w:basedOn w:val="Normal"/>
    <w:uiPriority w:val="99"/>
    <w:unhideWhenUsed/>
    <w:rsid w:val="00C60B6F"/>
    <w:pPr>
      <w:spacing w:before="100" w:beforeAutospacing="1" w:after="100" w:afterAutospacing="1"/>
    </w:pPr>
    <w:rPr>
      <w:rFonts w:eastAsia="Times New Roman"/>
      <w:lang w:eastAsia="en-US"/>
    </w:rPr>
  </w:style>
  <w:style w:type="paragraph" w:customStyle="1" w:styleId="NoteLevel2">
    <w:name w:val="Note Level 2"/>
    <w:link w:val="NoSpacingChar"/>
    <w:qFormat/>
    <w:rsid w:val="00747297"/>
    <w:rPr>
      <w:rFonts w:ascii="Calibri" w:hAnsi="Calibri"/>
      <w:sz w:val="22"/>
      <w:szCs w:val="22"/>
    </w:rPr>
  </w:style>
  <w:style w:type="character" w:customStyle="1" w:styleId="NoSpacingChar">
    <w:name w:val="No Spacing Char"/>
    <w:basedOn w:val="DefaultParagraphFont"/>
    <w:link w:val="NoteLevel2"/>
    <w:rsid w:val="00747297"/>
    <w:rPr>
      <w:rFonts w:ascii="Calibri" w:hAnsi="Calibri"/>
      <w:sz w:val="22"/>
      <w:szCs w:val="22"/>
      <w:lang w:val="en-US" w:eastAsia="en-US" w:bidi="ar-SA"/>
    </w:rPr>
  </w:style>
  <w:style w:type="character" w:customStyle="1" w:styleId="documentbody">
    <w:name w:val="documentbody"/>
    <w:basedOn w:val="DefaultParagraphFont"/>
    <w:rsid w:val="00B05CAC"/>
  </w:style>
  <w:style w:type="character" w:styleId="Hyperlink">
    <w:name w:val="Hyperlink"/>
    <w:basedOn w:val="DefaultParagraphFont"/>
    <w:uiPriority w:val="99"/>
    <w:unhideWhenUsed/>
    <w:rsid w:val="001D2AC2"/>
    <w:rPr>
      <w:color w:val="0000FF"/>
      <w:u w:val="single"/>
    </w:rPr>
  </w:style>
  <w:style w:type="paragraph" w:styleId="BalloonText">
    <w:name w:val="Balloon Text"/>
    <w:basedOn w:val="Normal"/>
    <w:semiHidden/>
    <w:rsid w:val="005D3BA5"/>
    <w:rPr>
      <w:rFonts w:ascii="Tahoma" w:hAnsi="Tahoma" w:cs="Tahoma"/>
      <w:sz w:val="16"/>
      <w:szCs w:val="16"/>
    </w:rPr>
  </w:style>
  <w:style w:type="character" w:styleId="CommentReference">
    <w:name w:val="annotation reference"/>
    <w:basedOn w:val="DefaultParagraphFont"/>
    <w:semiHidden/>
    <w:rsid w:val="0029720D"/>
    <w:rPr>
      <w:sz w:val="16"/>
      <w:szCs w:val="16"/>
    </w:rPr>
  </w:style>
  <w:style w:type="paragraph" w:styleId="CommentText">
    <w:name w:val="annotation text"/>
    <w:basedOn w:val="Normal"/>
    <w:semiHidden/>
    <w:rsid w:val="0029720D"/>
    <w:rPr>
      <w:sz w:val="20"/>
      <w:szCs w:val="20"/>
    </w:rPr>
  </w:style>
  <w:style w:type="paragraph" w:styleId="CommentSubject">
    <w:name w:val="annotation subject"/>
    <w:basedOn w:val="CommentText"/>
    <w:next w:val="CommentText"/>
    <w:semiHidden/>
    <w:rsid w:val="0029720D"/>
    <w:rPr>
      <w:b/>
      <w:bCs/>
    </w:rPr>
  </w:style>
  <w:style w:type="character" w:customStyle="1" w:styleId="text">
    <w:name w:val="text"/>
    <w:basedOn w:val="DefaultParagraphFont"/>
    <w:rsid w:val="00AF29C1"/>
  </w:style>
  <w:style w:type="character" w:customStyle="1" w:styleId="PlainTextChar">
    <w:name w:val="Plain Text Char"/>
    <w:basedOn w:val="DefaultParagraphFont"/>
    <w:link w:val="PlainText"/>
    <w:uiPriority w:val="99"/>
    <w:rsid w:val="007903D1"/>
    <w:rPr>
      <w:rFonts w:ascii="Consolas" w:hAnsi="Consolas"/>
      <w:lang w:bidi="ar-SA"/>
    </w:rPr>
  </w:style>
  <w:style w:type="paragraph" w:styleId="PlainText">
    <w:name w:val="Plain Text"/>
    <w:basedOn w:val="Normal"/>
    <w:link w:val="PlainTextChar"/>
    <w:uiPriority w:val="99"/>
    <w:rsid w:val="007903D1"/>
    <w:rPr>
      <w:rFonts w:ascii="Consolas" w:eastAsia="Times New Roman" w:hAnsi="Consolas"/>
      <w:sz w:val="20"/>
      <w:szCs w:val="20"/>
      <w:lang w:eastAsia="en-US"/>
    </w:rPr>
  </w:style>
  <w:style w:type="paragraph" w:styleId="HTMLPreformatted">
    <w:name w:val="HTML Preformatted"/>
    <w:basedOn w:val="Normal"/>
    <w:rsid w:val="00DA10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eastAsia="en-US"/>
    </w:rPr>
  </w:style>
  <w:style w:type="character" w:styleId="FollowedHyperlink">
    <w:name w:val="FollowedHyperlink"/>
    <w:basedOn w:val="DefaultParagraphFont"/>
    <w:rsid w:val="007F6E99"/>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72435932">
      <w:bodyDiv w:val="1"/>
      <w:marLeft w:val="0"/>
      <w:marRight w:val="0"/>
      <w:marTop w:val="0"/>
      <w:marBottom w:val="0"/>
      <w:divBdr>
        <w:top w:val="none" w:sz="0" w:space="0" w:color="auto"/>
        <w:left w:val="none" w:sz="0" w:space="0" w:color="auto"/>
        <w:bottom w:val="none" w:sz="0" w:space="0" w:color="auto"/>
        <w:right w:val="none" w:sz="0" w:space="0" w:color="auto"/>
      </w:divBdr>
    </w:div>
    <w:div w:id="122693498">
      <w:bodyDiv w:val="1"/>
      <w:marLeft w:val="0"/>
      <w:marRight w:val="0"/>
      <w:marTop w:val="0"/>
      <w:marBottom w:val="0"/>
      <w:divBdr>
        <w:top w:val="none" w:sz="0" w:space="0" w:color="auto"/>
        <w:left w:val="none" w:sz="0" w:space="0" w:color="auto"/>
        <w:bottom w:val="none" w:sz="0" w:space="0" w:color="auto"/>
        <w:right w:val="none" w:sz="0" w:space="0" w:color="auto"/>
      </w:divBdr>
    </w:div>
    <w:div w:id="161895430">
      <w:bodyDiv w:val="1"/>
      <w:marLeft w:val="0"/>
      <w:marRight w:val="0"/>
      <w:marTop w:val="0"/>
      <w:marBottom w:val="0"/>
      <w:divBdr>
        <w:top w:val="none" w:sz="0" w:space="0" w:color="auto"/>
        <w:left w:val="none" w:sz="0" w:space="0" w:color="auto"/>
        <w:bottom w:val="none" w:sz="0" w:space="0" w:color="auto"/>
        <w:right w:val="none" w:sz="0" w:space="0" w:color="auto"/>
      </w:divBdr>
    </w:div>
    <w:div w:id="222765545">
      <w:bodyDiv w:val="1"/>
      <w:marLeft w:val="0"/>
      <w:marRight w:val="0"/>
      <w:marTop w:val="0"/>
      <w:marBottom w:val="0"/>
      <w:divBdr>
        <w:top w:val="none" w:sz="0" w:space="0" w:color="auto"/>
        <w:left w:val="none" w:sz="0" w:space="0" w:color="auto"/>
        <w:bottom w:val="none" w:sz="0" w:space="0" w:color="auto"/>
        <w:right w:val="none" w:sz="0" w:space="0" w:color="auto"/>
      </w:divBdr>
    </w:div>
    <w:div w:id="997610111">
      <w:bodyDiv w:val="1"/>
      <w:marLeft w:val="0"/>
      <w:marRight w:val="0"/>
      <w:marTop w:val="0"/>
      <w:marBottom w:val="0"/>
      <w:divBdr>
        <w:top w:val="none" w:sz="0" w:space="0" w:color="auto"/>
        <w:left w:val="none" w:sz="0" w:space="0" w:color="auto"/>
        <w:bottom w:val="none" w:sz="0" w:space="0" w:color="auto"/>
        <w:right w:val="none" w:sz="0" w:space="0" w:color="auto"/>
      </w:divBdr>
    </w:div>
    <w:div w:id="1164707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www.leg.state.vt.us/docs/2010/bills/Passed/S-115.pdf" TargetMode="External"/><Relationship Id="rId3" Type="http://schemas.openxmlformats.org/officeDocument/2006/relationships/hyperlink" Target="http://assembly.state.ny.us/leg/?bn=A07732&amp;sh=t" TargetMode="External"/><Relationship Id="rId7" Type="http://schemas.openxmlformats.org/officeDocument/2006/relationships/hyperlink" Target="http://www.cga.ct.gov/2009/AMD/S/2009SB-00899-R00SC-AMD.htm" TargetMode="External"/><Relationship Id="rId2" Type="http://schemas.openxmlformats.org/officeDocument/2006/relationships/hyperlink" Target="http://www.apa.org/monitor/jan02/exemption.html" TargetMode="External"/><Relationship Id="rId1" Type="http://schemas.openxmlformats.org/officeDocument/2006/relationships/hyperlink" Target="http://www.becketfund.org/files/34a97.pdf" TargetMode="External"/><Relationship Id="rId6" Type="http://schemas.openxmlformats.org/officeDocument/2006/relationships/hyperlink" Target="http://www.cga.ct.gov/2009/AMD/S/2009SB-00899-R00SA-AMD.htm" TargetMode="External"/><Relationship Id="rId5" Type="http://schemas.openxmlformats.org/officeDocument/2006/relationships/hyperlink" Target="http://www.leg.state.vt.us/docs/2010/bills/Passed/S-115.pdf" TargetMode="External"/><Relationship Id="rId4" Type="http://schemas.openxmlformats.org/officeDocument/2006/relationships/hyperlink" Target="http://www.nytimes.com/2009/02/22/opinion/22rauch.html?_r=1" TargetMode="External"/><Relationship Id="rId9" Type="http://schemas.openxmlformats.org/officeDocument/2006/relationships/hyperlink" Target="http://www.cga.ct.gov/2009/AMD/S/2009SB-00899-R00SA-AMD.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2122</Words>
  <Characters>12733</Characters>
  <Application>Microsoft Office Word</Application>
  <DocSecurity>4</DocSecurity>
  <Lines>106</Lines>
  <Paragraphs>29</Paragraphs>
  <ScaleCrop>false</ScaleCrop>
  <HeadingPairs>
    <vt:vector size="2" baseType="variant">
      <vt:variant>
        <vt:lpstr>Title</vt:lpstr>
      </vt:variant>
      <vt:variant>
        <vt:i4>1</vt:i4>
      </vt:variant>
    </vt:vector>
  </HeadingPairs>
  <TitlesOfParts>
    <vt:vector size="1" baseType="lpstr">
      <vt:lpstr>March 27, 2009</vt:lpstr>
    </vt:vector>
  </TitlesOfParts>
  <Company/>
  <LinksUpToDate>false</LinksUpToDate>
  <CharactersWithSpaces>14826</CharactersWithSpaces>
  <SharedDoc>false</SharedDoc>
  <HLinks>
    <vt:vector size="54" baseType="variant">
      <vt:variant>
        <vt:i4>7995432</vt:i4>
      </vt:variant>
      <vt:variant>
        <vt:i4>24</vt:i4>
      </vt:variant>
      <vt:variant>
        <vt:i4>0</vt:i4>
      </vt:variant>
      <vt:variant>
        <vt:i4>5</vt:i4>
      </vt:variant>
      <vt:variant>
        <vt:lpwstr>http://www.cga.ct.gov/2009/AMD/S/2009SB-00899-R00SA-AMD.htm</vt:lpwstr>
      </vt:variant>
      <vt:variant>
        <vt:lpwstr/>
      </vt:variant>
      <vt:variant>
        <vt:i4>3539056</vt:i4>
      </vt:variant>
      <vt:variant>
        <vt:i4>21</vt:i4>
      </vt:variant>
      <vt:variant>
        <vt:i4>0</vt:i4>
      </vt:variant>
      <vt:variant>
        <vt:i4>5</vt:i4>
      </vt:variant>
      <vt:variant>
        <vt:lpwstr>http://www.leg.state.vt.us/docs/2010/bills/Passed/S-115.pdf</vt:lpwstr>
      </vt:variant>
      <vt:variant>
        <vt:lpwstr/>
      </vt:variant>
      <vt:variant>
        <vt:i4>7995434</vt:i4>
      </vt:variant>
      <vt:variant>
        <vt:i4>18</vt:i4>
      </vt:variant>
      <vt:variant>
        <vt:i4>0</vt:i4>
      </vt:variant>
      <vt:variant>
        <vt:i4>5</vt:i4>
      </vt:variant>
      <vt:variant>
        <vt:lpwstr>http://www.cga.ct.gov/2009/AMD/S/2009SB-00899-R00SC-AMD.htm</vt:lpwstr>
      </vt:variant>
      <vt:variant>
        <vt:lpwstr/>
      </vt:variant>
      <vt:variant>
        <vt:i4>7995432</vt:i4>
      </vt:variant>
      <vt:variant>
        <vt:i4>15</vt:i4>
      </vt:variant>
      <vt:variant>
        <vt:i4>0</vt:i4>
      </vt:variant>
      <vt:variant>
        <vt:i4>5</vt:i4>
      </vt:variant>
      <vt:variant>
        <vt:lpwstr>http://www.cga.ct.gov/2009/AMD/S/2009SB-00899-R00SA-AMD.htm</vt:lpwstr>
      </vt:variant>
      <vt:variant>
        <vt:lpwstr/>
      </vt:variant>
      <vt:variant>
        <vt:i4>3539056</vt:i4>
      </vt:variant>
      <vt:variant>
        <vt:i4>12</vt:i4>
      </vt:variant>
      <vt:variant>
        <vt:i4>0</vt:i4>
      </vt:variant>
      <vt:variant>
        <vt:i4>5</vt:i4>
      </vt:variant>
      <vt:variant>
        <vt:lpwstr>http://www.leg.state.vt.us/docs/2010/bills/Passed/S-115.pdf</vt:lpwstr>
      </vt:variant>
      <vt:variant>
        <vt:lpwstr/>
      </vt:variant>
      <vt:variant>
        <vt:i4>1638523</vt:i4>
      </vt:variant>
      <vt:variant>
        <vt:i4>9</vt:i4>
      </vt:variant>
      <vt:variant>
        <vt:i4>0</vt:i4>
      </vt:variant>
      <vt:variant>
        <vt:i4>5</vt:i4>
      </vt:variant>
      <vt:variant>
        <vt:lpwstr>http://www.nytimes.com/2009/02/22/opinion/22rauch.html?_r=1</vt:lpwstr>
      </vt:variant>
      <vt:variant>
        <vt:lpwstr/>
      </vt:variant>
      <vt:variant>
        <vt:i4>7667761</vt:i4>
      </vt:variant>
      <vt:variant>
        <vt:i4>6</vt:i4>
      </vt:variant>
      <vt:variant>
        <vt:i4>0</vt:i4>
      </vt:variant>
      <vt:variant>
        <vt:i4>5</vt:i4>
      </vt:variant>
      <vt:variant>
        <vt:lpwstr>http://assembly.state.ny.us/leg/?bn=A07732&amp;sh=t</vt:lpwstr>
      </vt:variant>
      <vt:variant>
        <vt:lpwstr/>
      </vt:variant>
      <vt:variant>
        <vt:i4>6422591</vt:i4>
      </vt:variant>
      <vt:variant>
        <vt:i4>3</vt:i4>
      </vt:variant>
      <vt:variant>
        <vt:i4>0</vt:i4>
      </vt:variant>
      <vt:variant>
        <vt:i4>5</vt:i4>
      </vt:variant>
      <vt:variant>
        <vt:lpwstr>http://www.apa.org/monitor/jan02/exemption.html</vt:lpwstr>
      </vt:variant>
      <vt:variant>
        <vt:lpwstr/>
      </vt:variant>
      <vt:variant>
        <vt:i4>5242975</vt:i4>
      </vt:variant>
      <vt:variant>
        <vt:i4>0</vt:i4>
      </vt:variant>
      <vt:variant>
        <vt:i4>0</vt:i4>
      </vt:variant>
      <vt:variant>
        <vt:i4>5</vt:i4>
      </vt:variant>
      <vt:variant>
        <vt:lpwstr>http://www.becketfund.org/files/34a97.pdf</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March 27, 2009</dc:title>
  <dc:subject/>
  <dc:creator>bkemmy</dc:creator>
  <cp:keywords/>
  <dc:description/>
  <cp:lastModifiedBy>IRT-CS</cp:lastModifiedBy>
  <cp:revision>2</cp:revision>
  <cp:lastPrinted>2009-05-08T15:25:00Z</cp:lastPrinted>
  <dcterms:created xsi:type="dcterms:W3CDTF">2009-08-02T04:31:00Z</dcterms:created>
  <dcterms:modified xsi:type="dcterms:W3CDTF">2009-08-02T04:31:00Z</dcterms:modified>
</cp:coreProperties>
</file>